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19930" w14:textId="77777777" w:rsidR="00DF3F9E" w:rsidRDefault="00DF3F9E">
      <w:pPr>
        <w:pStyle w:val="Title"/>
        <w:spacing w:line="240" w:lineRule="auto"/>
        <w:jc w:val="center"/>
        <w:rPr>
          <w:b/>
        </w:rPr>
      </w:pPr>
      <w:bookmarkStart w:id="0" w:name="_uxfzj91y02p4" w:colFirst="0" w:colLast="0"/>
      <w:bookmarkEnd w:id="0"/>
    </w:p>
    <w:p w14:paraId="445EBC3A" w14:textId="77777777" w:rsidR="00DF3F9E" w:rsidRDefault="00DF3F9E">
      <w:pPr>
        <w:pStyle w:val="Title"/>
        <w:spacing w:line="240" w:lineRule="auto"/>
        <w:jc w:val="center"/>
        <w:rPr>
          <w:sz w:val="36"/>
          <w:szCs w:val="36"/>
        </w:rPr>
      </w:pPr>
      <w:bookmarkStart w:id="1" w:name="_eihjsf96spdm" w:colFirst="0" w:colLast="0"/>
      <w:bookmarkEnd w:id="1"/>
    </w:p>
    <w:p w14:paraId="0167C53B" w14:textId="77777777" w:rsidR="00DF3F9E" w:rsidRDefault="00DF3F9E"/>
    <w:p w14:paraId="050618D7" w14:textId="77777777" w:rsidR="00DF3F9E" w:rsidRDefault="00DF3F9E">
      <w:pPr>
        <w:pStyle w:val="Title"/>
        <w:spacing w:line="240" w:lineRule="auto"/>
        <w:jc w:val="center"/>
        <w:rPr>
          <w:b/>
          <w:color w:val="073763"/>
          <w:sz w:val="64"/>
          <w:szCs w:val="64"/>
        </w:rPr>
      </w:pPr>
      <w:bookmarkStart w:id="2" w:name="_j717igo4of0l" w:colFirst="0" w:colLast="0"/>
      <w:bookmarkEnd w:id="2"/>
    </w:p>
    <w:p w14:paraId="55F3B09E" w14:textId="77777777" w:rsidR="00DF3F9E" w:rsidRDefault="00F10CC7">
      <w:pPr>
        <w:pStyle w:val="Title"/>
        <w:spacing w:line="240" w:lineRule="auto"/>
        <w:jc w:val="center"/>
        <w:rPr>
          <w:b/>
          <w:color w:val="073763"/>
          <w:sz w:val="64"/>
          <w:szCs w:val="64"/>
        </w:rPr>
      </w:pPr>
      <w:bookmarkStart w:id="3" w:name="_w9iq9itwi2co" w:colFirst="0" w:colLast="0"/>
      <w:bookmarkEnd w:id="3"/>
      <w:r>
        <w:rPr>
          <w:b/>
          <w:color w:val="073763"/>
          <w:sz w:val="64"/>
          <w:szCs w:val="64"/>
        </w:rPr>
        <w:t xml:space="preserve">CENTEF – ICT </w:t>
      </w:r>
    </w:p>
    <w:p w14:paraId="00CB91CD" w14:textId="77777777" w:rsidR="00DF3F9E" w:rsidRDefault="00F10CC7">
      <w:pPr>
        <w:pStyle w:val="Title"/>
        <w:spacing w:line="240" w:lineRule="auto"/>
        <w:jc w:val="center"/>
        <w:rPr>
          <w:b/>
          <w:color w:val="073763"/>
          <w:sz w:val="64"/>
          <w:szCs w:val="64"/>
        </w:rPr>
      </w:pPr>
      <w:bookmarkStart w:id="4" w:name="_pxriei6ifkis" w:colFirst="0" w:colLast="0"/>
      <w:bookmarkEnd w:id="4"/>
      <w:r>
        <w:rPr>
          <w:b/>
          <w:color w:val="073763"/>
          <w:sz w:val="64"/>
          <w:szCs w:val="64"/>
        </w:rPr>
        <w:t>Workshop on Terror Financing</w:t>
      </w:r>
    </w:p>
    <w:p w14:paraId="1CA50505" w14:textId="77777777" w:rsidR="00DF3F9E" w:rsidRDefault="00F10CC7">
      <w:pPr>
        <w:pStyle w:val="Title"/>
        <w:spacing w:line="240" w:lineRule="auto"/>
        <w:jc w:val="center"/>
        <w:rPr>
          <w:color w:val="073763"/>
          <w:sz w:val="38"/>
          <w:szCs w:val="38"/>
        </w:rPr>
      </w:pPr>
      <w:bookmarkStart w:id="5" w:name="_ftkn9zy9p25z" w:colFirst="0" w:colLast="0"/>
      <w:bookmarkEnd w:id="5"/>
      <w:r>
        <w:rPr>
          <w:color w:val="073763"/>
          <w:sz w:val="38"/>
          <w:szCs w:val="38"/>
        </w:rPr>
        <w:t>17 September 2025</w:t>
      </w:r>
    </w:p>
    <w:p w14:paraId="01BE565B" w14:textId="77777777" w:rsidR="00DF3F9E" w:rsidRDefault="00DF3F9E">
      <w:pPr>
        <w:rPr>
          <w:color w:val="073763"/>
        </w:rPr>
      </w:pPr>
    </w:p>
    <w:p w14:paraId="7E038F40" w14:textId="77777777" w:rsidR="00DF3F9E" w:rsidRDefault="00F10CC7">
      <w:pPr>
        <w:pStyle w:val="Title"/>
        <w:spacing w:line="240" w:lineRule="auto"/>
        <w:jc w:val="center"/>
        <w:rPr>
          <w:color w:val="073763"/>
          <w:sz w:val="64"/>
          <w:szCs w:val="64"/>
        </w:rPr>
      </w:pPr>
      <w:bookmarkStart w:id="6" w:name="_1byhi6nd1xbj" w:colFirst="0" w:colLast="0"/>
      <w:bookmarkEnd w:id="6"/>
      <w:r>
        <w:rPr>
          <w:b/>
          <w:color w:val="073763"/>
          <w:sz w:val="64"/>
          <w:szCs w:val="64"/>
        </w:rPr>
        <w:t>Workshop Summary</w:t>
      </w:r>
    </w:p>
    <w:p w14:paraId="699B768F" w14:textId="77777777" w:rsidR="00DF3F9E" w:rsidRDefault="00DF3F9E">
      <w:pPr>
        <w:pStyle w:val="Title"/>
        <w:spacing w:line="240" w:lineRule="auto"/>
        <w:rPr>
          <w:b/>
        </w:rPr>
      </w:pPr>
      <w:bookmarkStart w:id="7" w:name="_77w1xligpm4a" w:colFirst="0" w:colLast="0"/>
      <w:bookmarkEnd w:id="7"/>
    </w:p>
    <w:p w14:paraId="0C203F44" w14:textId="77777777" w:rsidR="00DF3F9E" w:rsidRDefault="00DF3F9E">
      <w:pPr>
        <w:pStyle w:val="Title"/>
        <w:spacing w:before="240" w:after="0" w:line="240" w:lineRule="auto"/>
        <w:rPr>
          <w:sz w:val="14"/>
          <w:szCs w:val="14"/>
        </w:rPr>
      </w:pPr>
      <w:bookmarkStart w:id="8" w:name="_unxm2cnuvhz1" w:colFirst="0" w:colLast="0"/>
      <w:bookmarkEnd w:id="8"/>
    </w:p>
    <w:p w14:paraId="4C27DC15" w14:textId="77777777" w:rsidR="00DF3F9E" w:rsidRDefault="00DF3F9E">
      <w:pPr>
        <w:pStyle w:val="Title"/>
        <w:spacing w:before="240" w:after="0" w:line="240" w:lineRule="auto"/>
        <w:rPr>
          <w:sz w:val="20"/>
          <w:szCs w:val="20"/>
        </w:rPr>
      </w:pPr>
      <w:bookmarkStart w:id="9" w:name="_vqgyeun63hn9" w:colFirst="0" w:colLast="0"/>
      <w:bookmarkEnd w:id="9"/>
    </w:p>
    <w:p w14:paraId="3032FD4D" w14:textId="77777777" w:rsidR="00DF3F9E" w:rsidRDefault="00DF3F9E"/>
    <w:p w14:paraId="2F2C4D7D" w14:textId="77777777" w:rsidR="00DF3F9E" w:rsidRDefault="00DF3F9E"/>
    <w:p w14:paraId="51A57812" w14:textId="77777777" w:rsidR="00DF3F9E" w:rsidRDefault="00DF3F9E">
      <w:pPr>
        <w:pStyle w:val="Title"/>
        <w:spacing w:after="0" w:line="240" w:lineRule="auto"/>
        <w:rPr>
          <w:b/>
          <w:sz w:val="20"/>
          <w:szCs w:val="20"/>
        </w:rPr>
      </w:pPr>
      <w:bookmarkStart w:id="10" w:name="_jzlvb08k0vbx" w:colFirst="0" w:colLast="0"/>
      <w:bookmarkEnd w:id="10"/>
    </w:p>
    <w:p w14:paraId="53FC2534" w14:textId="77777777" w:rsidR="00DF3F9E" w:rsidRDefault="00DF3F9E">
      <w:pPr>
        <w:pStyle w:val="Title"/>
        <w:spacing w:after="0" w:line="240" w:lineRule="auto"/>
        <w:rPr>
          <w:b/>
          <w:sz w:val="20"/>
          <w:szCs w:val="20"/>
        </w:rPr>
      </w:pPr>
      <w:bookmarkStart w:id="11" w:name="_o09j3h6j31rg" w:colFirst="0" w:colLast="0"/>
      <w:bookmarkEnd w:id="11"/>
    </w:p>
    <w:p w14:paraId="0B2C0D7E" w14:textId="77777777" w:rsidR="00DF3F9E" w:rsidRDefault="00DF3F9E">
      <w:pPr>
        <w:pStyle w:val="Title"/>
        <w:spacing w:after="0" w:line="240" w:lineRule="auto"/>
        <w:rPr>
          <w:sz w:val="20"/>
          <w:szCs w:val="20"/>
        </w:rPr>
      </w:pPr>
      <w:bookmarkStart w:id="12" w:name="_6t6r5zjqfft0" w:colFirst="0" w:colLast="0"/>
      <w:bookmarkEnd w:id="12"/>
    </w:p>
    <w:p w14:paraId="340E46D5" w14:textId="77777777" w:rsidR="00DF3F9E" w:rsidRDefault="00F10CC7">
      <w:pPr>
        <w:pStyle w:val="Title"/>
        <w:spacing w:line="240" w:lineRule="auto"/>
        <w:rPr>
          <w:b/>
          <w:rtl/>
          <w:lang w:bidi="he-IL"/>
        </w:rPr>
      </w:pPr>
      <w:r>
        <w:br w:type="page"/>
      </w:r>
    </w:p>
    <w:p w14:paraId="22C02BBA" w14:textId="77777777" w:rsidR="00DF3F9E" w:rsidRDefault="00DF3F9E">
      <w:pPr>
        <w:pStyle w:val="Title"/>
        <w:spacing w:line="240" w:lineRule="auto"/>
        <w:jc w:val="center"/>
        <w:rPr>
          <w:b/>
        </w:rPr>
      </w:pPr>
      <w:bookmarkStart w:id="13" w:name="_g3d5mzeidcc7" w:colFirst="0" w:colLast="0"/>
      <w:bookmarkEnd w:id="13"/>
    </w:p>
    <w:p w14:paraId="415A49F3" w14:textId="7F39709B" w:rsidR="00DF3F9E" w:rsidRPr="001113BD" w:rsidRDefault="00F10CC7">
      <w:pPr>
        <w:pStyle w:val="Title"/>
        <w:spacing w:line="240" w:lineRule="auto"/>
        <w:jc w:val="center"/>
        <w:rPr>
          <w:b/>
          <w:sz w:val="40"/>
          <w:szCs w:val="40"/>
        </w:rPr>
      </w:pPr>
      <w:bookmarkStart w:id="14" w:name="_bei7dafyv8gu" w:colFirst="0" w:colLast="0"/>
      <w:bookmarkEnd w:id="14"/>
      <w:r w:rsidRPr="001113BD">
        <w:rPr>
          <w:b/>
          <w:sz w:val="40"/>
          <w:szCs w:val="40"/>
        </w:rPr>
        <w:t>CENTEF – ICT Workshop on Terror</w:t>
      </w:r>
      <w:r w:rsidR="001113BD" w:rsidRPr="001113BD">
        <w:rPr>
          <w:b/>
          <w:sz w:val="40"/>
          <w:szCs w:val="40"/>
        </w:rPr>
        <w:t xml:space="preserve"> </w:t>
      </w:r>
      <w:r w:rsidRPr="001113BD">
        <w:rPr>
          <w:b/>
          <w:sz w:val="40"/>
          <w:szCs w:val="40"/>
        </w:rPr>
        <w:t>Financing</w:t>
      </w:r>
    </w:p>
    <w:p w14:paraId="3FD3BEC7" w14:textId="77777777" w:rsidR="00DF3F9E" w:rsidRPr="001113BD" w:rsidRDefault="00F10CC7">
      <w:pPr>
        <w:pStyle w:val="Title"/>
        <w:spacing w:line="240" w:lineRule="auto"/>
        <w:jc w:val="center"/>
        <w:rPr>
          <w:b/>
          <w:sz w:val="40"/>
          <w:szCs w:val="40"/>
        </w:rPr>
      </w:pPr>
      <w:bookmarkStart w:id="15" w:name="_1iexyrp731nq" w:colFirst="0" w:colLast="0"/>
      <w:bookmarkEnd w:id="15"/>
      <w:r w:rsidRPr="001113BD">
        <w:rPr>
          <w:b/>
          <w:sz w:val="40"/>
          <w:szCs w:val="40"/>
        </w:rPr>
        <w:t>Workshop Summary</w:t>
      </w:r>
    </w:p>
    <w:p w14:paraId="394AA76B" w14:textId="77777777" w:rsidR="00DF3F9E" w:rsidRDefault="00DF3F9E">
      <w:pPr>
        <w:pStyle w:val="Heading2"/>
        <w:ind w:left="0" w:firstLine="0"/>
      </w:pPr>
      <w:bookmarkStart w:id="16" w:name="_e6r8fjzgv907" w:colFirst="0" w:colLast="0"/>
      <w:bookmarkEnd w:id="16"/>
    </w:p>
    <w:p w14:paraId="00058685" w14:textId="77777777" w:rsidR="00DF3F9E" w:rsidRDefault="00F10CC7">
      <w:pPr>
        <w:pStyle w:val="Heading2"/>
        <w:ind w:left="0" w:firstLine="0"/>
      </w:pPr>
      <w:bookmarkStart w:id="17" w:name="_9hnrv4hhiq44" w:colFirst="0" w:colLast="0"/>
      <w:bookmarkEnd w:id="17"/>
      <w:r>
        <w:t>Executive Summary</w:t>
      </w:r>
    </w:p>
    <w:p w14:paraId="6F065D34" w14:textId="77777777" w:rsidR="00DF3F9E" w:rsidRDefault="00DF3F9E">
      <w:pPr>
        <w:pBdr>
          <w:top w:val="nil"/>
          <w:left w:val="nil"/>
          <w:bottom w:val="nil"/>
          <w:right w:val="nil"/>
          <w:between w:val="nil"/>
        </w:pBdr>
        <w:spacing w:line="240" w:lineRule="auto"/>
      </w:pPr>
    </w:p>
    <w:p w14:paraId="7F5DD7F9" w14:textId="77777777" w:rsidR="001113BD" w:rsidRDefault="00F10CC7" w:rsidP="00375559">
      <w:pPr>
        <w:numPr>
          <w:ilvl w:val="0"/>
          <w:numId w:val="19"/>
        </w:numPr>
        <w:ind w:left="360"/>
        <w:jc w:val="both"/>
      </w:pPr>
      <w:r>
        <w:t xml:space="preserve">On September 17, 2025, CENTEF, ICT, and </w:t>
      </w:r>
      <w:proofErr w:type="spellStart"/>
      <w:r>
        <w:t>Cognyte</w:t>
      </w:r>
      <w:proofErr w:type="spellEnd"/>
      <w:r>
        <w:t xml:space="preserve"> convened </w:t>
      </w:r>
      <w:r>
        <w:rPr>
          <w:b/>
        </w:rPr>
        <w:t xml:space="preserve">CENTEF’s first </w:t>
      </w:r>
      <w:r>
        <w:rPr>
          <w:b/>
        </w:rPr>
        <w:t>public workshop and roundtable on terror financing</w:t>
      </w:r>
      <w:r>
        <w:t xml:space="preserve"> as part of Reichman University’s Shabtai Shavit World Summit on Counter-terrorism. The two sessions brought together regulators, agencies, researchers, financial institutions, and technology firms. The pub</w:t>
      </w:r>
      <w:r>
        <w:t xml:space="preserve">lic session can be viewed on </w:t>
      </w:r>
      <w:hyperlink r:id="rId7">
        <w:proofErr w:type="spellStart"/>
        <w:r w:rsidR="001113BD">
          <w:rPr>
            <w:color w:val="0000FF"/>
            <w:u w:val="single"/>
          </w:rPr>
          <w:t>Youtube</w:t>
        </w:r>
        <w:proofErr w:type="spellEnd"/>
      </w:hyperlink>
      <w:r>
        <w:t>.</w:t>
      </w:r>
    </w:p>
    <w:p w14:paraId="62327945" w14:textId="4E3356E7" w:rsidR="00DF3F9E" w:rsidRDefault="00DF3F9E" w:rsidP="00375559">
      <w:pPr>
        <w:jc w:val="both"/>
      </w:pPr>
    </w:p>
    <w:p w14:paraId="009C0599" w14:textId="77777777" w:rsidR="001113BD" w:rsidRDefault="00F10CC7" w:rsidP="00375559">
      <w:pPr>
        <w:numPr>
          <w:ilvl w:val="0"/>
          <w:numId w:val="19"/>
        </w:numPr>
        <w:ind w:left="360"/>
        <w:jc w:val="both"/>
      </w:pPr>
      <w:r>
        <w:t xml:space="preserve">The workshop drew </w:t>
      </w:r>
      <w:r>
        <w:rPr>
          <w:b/>
        </w:rPr>
        <w:t>~100 participants</w:t>
      </w:r>
      <w:r>
        <w:t xml:space="preserve"> and elevated terror financing to the forefront of one of the world’s premier counter-terrorism events.</w:t>
      </w:r>
    </w:p>
    <w:p w14:paraId="45632A8D" w14:textId="24CFC9DE" w:rsidR="00DF3F9E" w:rsidRDefault="00DF3F9E" w:rsidP="00375559">
      <w:pPr>
        <w:ind w:left="-360"/>
        <w:jc w:val="both"/>
      </w:pPr>
    </w:p>
    <w:p w14:paraId="197C04C9" w14:textId="77777777" w:rsidR="001113BD" w:rsidRDefault="00F10CC7" w:rsidP="00375559">
      <w:pPr>
        <w:numPr>
          <w:ilvl w:val="0"/>
          <w:numId w:val="19"/>
        </w:numPr>
        <w:ind w:left="360"/>
        <w:jc w:val="both"/>
      </w:pPr>
      <w:r>
        <w:t xml:space="preserve">Key sessions highlighted Hezbollah’s </w:t>
      </w:r>
      <w:r>
        <w:rPr>
          <w:b/>
        </w:rPr>
        <w:t>financial crisis</w:t>
      </w:r>
      <w:r>
        <w:t xml:space="preserve">, the resilience of its global networks, and the growing role of </w:t>
      </w:r>
      <w:r>
        <w:rPr>
          <w:b/>
        </w:rPr>
        <w:t>fintech, crypto, and crime–terror</w:t>
      </w:r>
      <w:r>
        <w:rPr>
          <w:b/>
        </w:rPr>
        <w:t xml:space="preserve"> links</w:t>
      </w:r>
      <w:r w:rsidR="001113BD">
        <w:t>.</w:t>
      </w:r>
    </w:p>
    <w:p w14:paraId="45D058ED" w14:textId="77777777" w:rsidR="001113BD" w:rsidRDefault="001113BD" w:rsidP="00375559">
      <w:pPr>
        <w:pStyle w:val="ListParagraph"/>
        <w:ind w:left="360"/>
      </w:pPr>
    </w:p>
    <w:p w14:paraId="2453E5F7" w14:textId="77777777" w:rsidR="001113BD" w:rsidRDefault="00F10CC7" w:rsidP="00375559">
      <w:pPr>
        <w:numPr>
          <w:ilvl w:val="0"/>
          <w:numId w:val="19"/>
        </w:numPr>
        <w:ind w:left="360"/>
        <w:jc w:val="both"/>
      </w:pPr>
      <w:r>
        <w:t xml:space="preserve">The closed roundtable emphasized the urgency of </w:t>
      </w:r>
      <w:r>
        <w:rPr>
          <w:b/>
        </w:rPr>
        <w:t>international regulatory alignment</w:t>
      </w:r>
      <w:r>
        <w:t xml:space="preserve">, stronger sanctions, and the need for </w:t>
      </w:r>
      <w:r>
        <w:rPr>
          <w:b/>
        </w:rPr>
        <w:t>financial literacy among policymakers</w:t>
      </w:r>
      <w:r>
        <w:t>.</w:t>
      </w:r>
    </w:p>
    <w:p w14:paraId="08CF3D41" w14:textId="2E8E874E" w:rsidR="00DF3F9E" w:rsidRDefault="00DF3F9E" w:rsidP="00375559">
      <w:pPr>
        <w:ind w:left="-360"/>
        <w:jc w:val="both"/>
      </w:pPr>
    </w:p>
    <w:p w14:paraId="116DA5B5" w14:textId="77777777" w:rsidR="00DF3F9E" w:rsidRDefault="00F10CC7" w:rsidP="00375559">
      <w:pPr>
        <w:numPr>
          <w:ilvl w:val="0"/>
          <w:numId w:val="19"/>
        </w:numPr>
        <w:ind w:left="360"/>
        <w:jc w:val="both"/>
      </w:pPr>
      <w:r>
        <w:t xml:space="preserve">The event positioned CENTEF as a </w:t>
      </w:r>
      <w:r>
        <w:rPr>
          <w:b/>
        </w:rPr>
        <w:t>global hub for terror-financing research and collabor</w:t>
      </w:r>
      <w:r>
        <w:rPr>
          <w:b/>
        </w:rPr>
        <w:t>ation</w:t>
      </w:r>
      <w:r>
        <w:t xml:space="preserve">, paving the way for a forthcoming white paper and expanded engagement in </w:t>
      </w:r>
      <w:r>
        <w:rPr>
          <w:b/>
        </w:rPr>
        <w:t>Europe and the Gulf</w:t>
      </w:r>
      <w:r>
        <w:t>.</w:t>
      </w:r>
    </w:p>
    <w:p w14:paraId="367AC1FC" w14:textId="77777777" w:rsidR="00DF3F9E" w:rsidRDefault="00DF3F9E">
      <w:pPr>
        <w:widowControl w:val="0"/>
        <w:pBdr>
          <w:top w:val="nil"/>
          <w:left w:val="nil"/>
          <w:bottom w:val="nil"/>
          <w:right w:val="nil"/>
          <w:between w:val="nil"/>
        </w:pBdr>
        <w:ind w:left="720"/>
        <w:jc w:val="both"/>
      </w:pPr>
    </w:p>
    <w:p w14:paraId="1E70A0FD" w14:textId="77777777" w:rsidR="00DF3F9E" w:rsidRDefault="00F10CC7">
      <w:pPr>
        <w:widowControl w:val="0"/>
        <w:pBdr>
          <w:top w:val="nil"/>
          <w:left w:val="nil"/>
          <w:bottom w:val="nil"/>
          <w:right w:val="nil"/>
          <w:between w:val="nil"/>
        </w:pBdr>
        <w:jc w:val="both"/>
      </w:pPr>
      <w:r>
        <w:rPr>
          <w:noProof/>
        </w:rPr>
        <w:pict w14:anchorId="76D0ED59">
          <v:rect id="_x0000_i1029" alt="" style="width:468pt;height:.05pt;mso-width-percent:0;mso-height-percent:0;mso-width-percent:0;mso-height-percent:0" o:hralign="center" o:hrstd="t" o:hr="t" fillcolor="#a0a0a0" stroked="f"/>
        </w:pict>
      </w:r>
    </w:p>
    <w:p w14:paraId="61DCC57A" w14:textId="77777777" w:rsidR="00DF3F9E" w:rsidRDefault="00F10CC7">
      <w:pPr>
        <w:pStyle w:val="Heading2"/>
        <w:keepNext w:val="0"/>
        <w:keepLines w:val="0"/>
        <w:spacing w:after="80" w:line="276" w:lineRule="auto"/>
        <w:ind w:left="0" w:firstLine="0"/>
        <w:jc w:val="both"/>
      </w:pPr>
      <w:bookmarkStart w:id="18" w:name="_istyh637kcpk" w:colFirst="0" w:colLast="0"/>
      <w:bookmarkEnd w:id="18"/>
      <w:r>
        <w:t>Overview</w:t>
      </w:r>
    </w:p>
    <w:p w14:paraId="6D90C2AB" w14:textId="77777777" w:rsidR="00DF3F9E" w:rsidRDefault="00F10CC7">
      <w:pPr>
        <w:spacing w:before="240" w:after="240"/>
        <w:jc w:val="both"/>
      </w:pPr>
      <w:r>
        <w:t xml:space="preserve">The 2025 Shabtai Shavit World Summit on Counter-Terrorism, hosted by ICT, drew more than 1,000 participants from Israel and around the </w:t>
      </w:r>
      <w:r>
        <w:t>world. The summit opened with two days of plenary sessions on the main stage, followed by two days of workshops across several auditoriums, all broadcasted live on YouTube and on the ICT channel with simultaneous English translation.</w:t>
      </w:r>
    </w:p>
    <w:p w14:paraId="658902CB" w14:textId="77777777" w:rsidR="00DF3F9E" w:rsidRDefault="00F10CC7">
      <w:pPr>
        <w:spacing w:before="240" w:after="240"/>
        <w:jc w:val="both"/>
      </w:pPr>
      <w:r>
        <w:t>Within this global pla</w:t>
      </w:r>
      <w:r>
        <w:t xml:space="preserve">tform, on September 17, 2025, </w:t>
      </w:r>
      <w:r>
        <w:rPr>
          <w:b/>
        </w:rPr>
        <w:t>CENTEF hosted its first public workshop and roundtable on terror financing</w:t>
      </w:r>
      <w:r>
        <w:t>. The sessions were designed to elevate terror financing from a niche topic into a top-tier priority for decisionmakers, regulators, compliance officers</w:t>
      </w:r>
      <w:r>
        <w:t>, intelligence officials, and the broader public.</w:t>
      </w:r>
    </w:p>
    <w:p w14:paraId="543D1C82" w14:textId="77777777" w:rsidR="00DF3F9E" w:rsidRDefault="00F10CC7">
      <w:pPr>
        <w:spacing w:before="240" w:after="240"/>
        <w:jc w:val="both"/>
      </w:pPr>
      <w:r>
        <w:lastRenderedPageBreak/>
        <w:t>The workshop created a professional, multidisciplinary dialogue that transcended traditional silos and brought together experts from government, academia, the financial sector, and technology companies. For</w:t>
      </w:r>
      <w:r>
        <w:t xml:space="preserve"> many participants, this was the first major public discussion on terror financing in Israel since October 7, 2023—and the first opportunity to see the full spectrum of perspectives on how these networks operate and adapt.</w:t>
      </w:r>
    </w:p>
    <w:p w14:paraId="477B7D3E" w14:textId="77777777" w:rsidR="00DF3F9E" w:rsidRDefault="00F10CC7">
      <w:pPr>
        <w:spacing w:before="240" w:after="240"/>
        <w:jc w:val="both"/>
      </w:pPr>
      <w:r>
        <w:t>Rather than a single-discipline v</w:t>
      </w:r>
      <w:r>
        <w:t>iew, the event showcased how terror financing must be understood through multiple lenses: intelligence, regulation, innovation in fintech and crypto, and the role of state sponsors. This positioning reinforced CENTEF’s role as a hub that convenes diverse e</w:t>
      </w:r>
      <w:r>
        <w:t>xpertise and translates it into actionable insights.</w:t>
      </w:r>
    </w:p>
    <w:p w14:paraId="6780A171" w14:textId="77777777" w:rsidR="00DF3F9E" w:rsidRDefault="00F10CC7">
      <w:pPr>
        <w:spacing w:before="240" w:after="240"/>
        <w:jc w:val="both"/>
      </w:pPr>
      <w:r>
        <w:rPr>
          <w:noProof/>
        </w:rPr>
        <w:pict w14:anchorId="482E698A">
          <v:rect id="_x0000_i1028" alt="" style="width:468pt;height:.05pt;mso-width-percent:0;mso-height-percent:0;mso-width-percent:0;mso-height-percent:0" o:hralign="center" o:hrstd="t" o:hr="t" fillcolor="#a0a0a0" stroked="f"/>
        </w:pict>
      </w:r>
    </w:p>
    <w:p w14:paraId="4CBE57CC" w14:textId="77777777" w:rsidR="00DF3F9E" w:rsidRDefault="00F10CC7">
      <w:pPr>
        <w:pStyle w:val="Heading2"/>
        <w:keepNext w:val="0"/>
        <w:keepLines w:val="0"/>
        <w:spacing w:after="80" w:line="276" w:lineRule="auto"/>
        <w:ind w:left="0" w:firstLine="0"/>
        <w:jc w:val="both"/>
        <w:rPr>
          <w:sz w:val="34"/>
          <w:szCs w:val="34"/>
        </w:rPr>
      </w:pPr>
      <w:bookmarkStart w:id="19" w:name="_ekdzesemyrjb" w:colFirst="0" w:colLast="0"/>
      <w:bookmarkEnd w:id="19"/>
      <w:r>
        <w:t>Workshop Structure</w:t>
      </w:r>
    </w:p>
    <w:p w14:paraId="3D3B0E97" w14:textId="20C475C7" w:rsidR="00DF3F9E" w:rsidRDefault="00F10CC7">
      <w:pPr>
        <w:spacing w:before="240" w:after="240"/>
        <w:jc w:val="both"/>
      </w:pPr>
      <w:r>
        <w:t xml:space="preserve">The workshop combined depth with breadth, balancing fireside chats for focused conversations with panels that explored broader trends. Moderated by Michael (Mikey) Gallant, Chairman </w:t>
      </w:r>
      <w:r>
        <w:t>of CENTEF, the agenda was as follows:</w:t>
      </w:r>
    </w:p>
    <w:p w14:paraId="1DAB9CC3" w14:textId="77777777" w:rsidR="00DF3F9E" w:rsidRDefault="00F10CC7" w:rsidP="00375559">
      <w:pPr>
        <w:numPr>
          <w:ilvl w:val="0"/>
          <w:numId w:val="20"/>
        </w:numPr>
        <w:spacing w:before="240"/>
      </w:pPr>
      <w:r>
        <w:rPr>
          <w:b/>
        </w:rPr>
        <w:t>Opening Remarks</w:t>
      </w:r>
      <w:r>
        <w:t xml:space="preserve"> – Michael Gallant set the stage by emphasizing the need for new cross-sector approaches to disrupt terror financing.</w:t>
      </w:r>
      <w:r>
        <w:br/>
      </w:r>
    </w:p>
    <w:p w14:paraId="5BA99983" w14:textId="77777777" w:rsidR="00DF3F9E" w:rsidRDefault="00F10CC7" w:rsidP="00375559">
      <w:pPr>
        <w:numPr>
          <w:ilvl w:val="0"/>
          <w:numId w:val="20"/>
        </w:numPr>
      </w:pPr>
      <w:r>
        <w:rPr>
          <w:b/>
        </w:rPr>
        <w:t>Fireside Chat: Hezbollah After the War</w:t>
      </w:r>
      <w:r>
        <w:t xml:space="preserve"> – Dr. Matthew Levitt provided a deep dive int</w:t>
      </w:r>
      <w:r>
        <w:t>o Hezbollah’s current financial situation, underscoring both its vulnerabilities and the resilience of its global networks.</w:t>
      </w:r>
      <w:r>
        <w:br/>
      </w:r>
    </w:p>
    <w:p w14:paraId="14732B08" w14:textId="77777777" w:rsidR="00DF3F9E" w:rsidRDefault="00F10CC7" w:rsidP="00375559">
      <w:pPr>
        <w:numPr>
          <w:ilvl w:val="0"/>
          <w:numId w:val="20"/>
        </w:numPr>
      </w:pPr>
      <w:r>
        <w:rPr>
          <w:b/>
        </w:rPr>
        <w:t>Panel 1: The Next Generation of Terror Financing</w:t>
      </w:r>
      <w:r>
        <w:t xml:space="preserve"> – Dr. Shlomit Wagman, Juan Montaner, and Omer Frenkel examined how fintech and cry</w:t>
      </w:r>
      <w:r>
        <w:t>pto are reshaping the landscape of illicit finance, and the challenges regulators face in keeping pace.</w:t>
      </w:r>
      <w:r>
        <w:br/>
      </w:r>
    </w:p>
    <w:p w14:paraId="21468FB9" w14:textId="77777777" w:rsidR="00DF3F9E" w:rsidRDefault="00F10CC7" w:rsidP="00375559">
      <w:pPr>
        <w:numPr>
          <w:ilvl w:val="0"/>
          <w:numId w:val="20"/>
        </w:numPr>
      </w:pPr>
      <w:r>
        <w:rPr>
          <w:b/>
        </w:rPr>
        <w:t>Fireside Chat: Dirty Money and the Crime–Terror Nexus</w:t>
      </w:r>
      <w:r>
        <w:t xml:space="preserve"> – Adv. </w:t>
      </w:r>
      <w:proofErr w:type="spellStart"/>
      <w:r>
        <w:t>Ilit</w:t>
      </w:r>
      <w:proofErr w:type="spellEnd"/>
      <w:r>
        <w:t xml:space="preserve"> </w:t>
      </w:r>
      <w:proofErr w:type="spellStart"/>
      <w:r>
        <w:t>Ostrovitch</w:t>
      </w:r>
      <w:proofErr w:type="spellEnd"/>
      <w:r>
        <w:t>-Levi, Director-General of Israel’s Money Laundering and Terror Financing P</w:t>
      </w:r>
      <w:r>
        <w:t>rohibition Authority (IMPA), highlighted how organized crime and terrorism increasingly share the same financial infrastructure.</w:t>
      </w:r>
      <w:r>
        <w:br/>
      </w:r>
    </w:p>
    <w:p w14:paraId="2B04806E" w14:textId="77777777" w:rsidR="00DF3F9E" w:rsidRDefault="00F10CC7" w:rsidP="00375559">
      <w:pPr>
        <w:numPr>
          <w:ilvl w:val="0"/>
          <w:numId w:val="20"/>
        </w:numPr>
      </w:pPr>
      <w:r>
        <w:rPr>
          <w:b/>
        </w:rPr>
        <w:t>Panel 2: Iran, Qatar, and Turkey – The Terror Financing Axis</w:t>
      </w:r>
      <w:r>
        <w:t xml:space="preserve"> – Dr. Udi Levy, Omer Frenkel, and Roy Agagny offered a strategic </w:t>
      </w:r>
      <w:r>
        <w:t>overview of state-sponsored financing, exposing both methods of operation and emerging red flags.</w:t>
      </w:r>
      <w:r>
        <w:br/>
      </w:r>
    </w:p>
    <w:p w14:paraId="66BFB5BB" w14:textId="77777777" w:rsidR="00DF3F9E" w:rsidRDefault="00F10CC7" w:rsidP="00375559">
      <w:pPr>
        <w:numPr>
          <w:ilvl w:val="0"/>
          <w:numId w:val="20"/>
        </w:numPr>
        <w:spacing w:after="240"/>
      </w:pPr>
      <w:r>
        <w:rPr>
          <w:b/>
        </w:rPr>
        <w:t>Closing Remarks</w:t>
      </w:r>
      <w:r>
        <w:t xml:space="preserve"> – Michael Gallant concluded by stressing the importance of collaboration across regulators, agencies, and the private sector to successfully </w:t>
      </w:r>
      <w:r>
        <w:t>expose and disrupt these networks.</w:t>
      </w:r>
      <w:r>
        <w:br/>
      </w:r>
    </w:p>
    <w:p w14:paraId="63ABA27E" w14:textId="77777777" w:rsidR="00DF3F9E" w:rsidRDefault="00F10CC7">
      <w:pPr>
        <w:spacing w:before="240" w:after="240"/>
        <w:jc w:val="both"/>
      </w:pPr>
      <w:r>
        <w:lastRenderedPageBreak/>
        <w:t xml:space="preserve">Following the open workshop, CENTEF convened a </w:t>
      </w:r>
      <w:r>
        <w:rPr>
          <w:b/>
        </w:rPr>
        <w:t>closed-door roundtable: “Terror Financing After October 7th — What Has Changed, What Remains, and What Awaits Us?”</w:t>
      </w:r>
      <w:r>
        <w:t xml:space="preserve"> This intimate session brought together 25 experts and stak</w:t>
      </w:r>
      <w:r>
        <w:t>eholders for candid dialogue under Chatham House rules. By invitation only, the discussion was not recorded, creating a space for leading practitioners to share perspectives on Hezbollah, Iran, regulatory gaps, and the future of disruption efforts.</w:t>
      </w:r>
    </w:p>
    <w:p w14:paraId="142B56A4" w14:textId="021D93EE" w:rsidR="00D627DF" w:rsidRDefault="00D627DF" w:rsidP="006468E9">
      <w:pPr>
        <w:spacing w:before="240"/>
        <w:jc w:val="center"/>
      </w:pPr>
      <w:r>
        <w:rPr>
          <w:noProof/>
        </w:rPr>
        <w:drawing>
          <wp:inline distT="0" distB="0" distL="0" distR="0" wp14:anchorId="43C0C131" wp14:editId="1D5D5725">
            <wp:extent cx="5943600" cy="3343275"/>
            <wp:effectExtent l="0" t="0" r="0" b="9525"/>
            <wp:docPr id="23866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6084" name="Picture 2386608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928AE1A" w14:textId="1E702A66" w:rsidR="006468E9" w:rsidRDefault="006468E9" w:rsidP="006468E9">
      <w:pPr>
        <w:jc w:val="both"/>
        <w:rPr>
          <w:sz w:val="18"/>
          <w:szCs w:val="18"/>
        </w:rPr>
      </w:pPr>
      <w:r>
        <w:rPr>
          <w:sz w:val="18"/>
          <w:szCs w:val="18"/>
        </w:rPr>
        <w:t xml:space="preserve">Left to right: </w:t>
      </w:r>
      <w:r w:rsidRPr="00C75E6F">
        <w:rPr>
          <w:sz w:val="18"/>
          <w:szCs w:val="18"/>
        </w:rPr>
        <w:t xml:space="preserve">Michael (Mikey) Gallant, </w:t>
      </w:r>
      <w:r>
        <w:rPr>
          <w:sz w:val="18"/>
          <w:szCs w:val="18"/>
        </w:rPr>
        <w:t xml:space="preserve">Adv. </w:t>
      </w:r>
      <w:proofErr w:type="spellStart"/>
      <w:r>
        <w:rPr>
          <w:sz w:val="18"/>
          <w:szCs w:val="18"/>
        </w:rPr>
        <w:t>Ilit</w:t>
      </w:r>
      <w:proofErr w:type="spellEnd"/>
      <w:r>
        <w:rPr>
          <w:sz w:val="18"/>
          <w:szCs w:val="18"/>
        </w:rPr>
        <w:t xml:space="preserve"> </w:t>
      </w:r>
      <w:proofErr w:type="spellStart"/>
      <w:r>
        <w:rPr>
          <w:sz w:val="18"/>
          <w:szCs w:val="18"/>
        </w:rPr>
        <w:t>Ostrovitch</w:t>
      </w:r>
      <w:proofErr w:type="spellEnd"/>
      <w:r>
        <w:rPr>
          <w:sz w:val="18"/>
          <w:szCs w:val="18"/>
        </w:rPr>
        <w:t>-Levi</w:t>
      </w:r>
    </w:p>
    <w:p w14:paraId="15EB4F20" w14:textId="77777777" w:rsidR="0030609F" w:rsidRPr="00C75E6F" w:rsidRDefault="0030609F" w:rsidP="006468E9">
      <w:pPr>
        <w:jc w:val="both"/>
        <w:rPr>
          <w:sz w:val="18"/>
          <w:szCs w:val="18"/>
        </w:rPr>
      </w:pPr>
    </w:p>
    <w:p w14:paraId="4A85BAA0" w14:textId="77777777" w:rsidR="00DF3F9E" w:rsidRDefault="00F10CC7">
      <w:pPr>
        <w:bidi/>
        <w:spacing w:line="240" w:lineRule="auto"/>
      </w:pPr>
      <w:r>
        <w:rPr>
          <w:noProof/>
        </w:rPr>
        <w:pict w14:anchorId="3793B6DD">
          <v:rect id="_x0000_i1027" alt="" style="width:468pt;height:.05pt;mso-width-percent:0;mso-height-percent:0;mso-width-percent:0;mso-height-percent:0" o:hralign="center" o:bullet="t" o:hrstd="t" o:hr="t" fillcolor="#a0a0a0" stroked="f"/>
        </w:pict>
      </w:r>
    </w:p>
    <w:p w14:paraId="660CC1B4" w14:textId="77777777" w:rsidR="0030609F" w:rsidRDefault="0030609F" w:rsidP="0030609F">
      <w:pPr>
        <w:bidi/>
        <w:spacing w:line="240" w:lineRule="auto"/>
      </w:pPr>
    </w:p>
    <w:p w14:paraId="315593D6" w14:textId="77777777" w:rsidR="00DF3F9E" w:rsidRDefault="00F10CC7">
      <w:pPr>
        <w:pStyle w:val="Heading2"/>
        <w:ind w:left="0" w:firstLine="0"/>
      </w:pPr>
      <w:bookmarkStart w:id="20" w:name="_1vfvzicfaoc8" w:colFirst="0" w:colLast="0"/>
      <w:bookmarkStart w:id="21" w:name="_tn3hwttse2ic" w:colFirst="0" w:colLast="0"/>
      <w:bookmarkEnd w:id="20"/>
      <w:bookmarkEnd w:id="21"/>
      <w:r>
        <w:t>Workshop: Key Insights</w:t>
      </w:r>
    </w:p>
    <w:p w14:paraId="3B15374F" w14:textId="77777777" w:rsidR="00DF3F9E" w:rsidRDefault="00F10CC7">
      <w:pPr>
        <w:pStyle w:val="Heading3"/>
        <w:keepNext w:val="0"/>
        <w:keepLines w:val="0"/>
      </w:pPr>
      <w:bookmarkStart w:id="22" w:name="_qwiyo4hx2yu6" w:colFirst="0" w:colLast="0"/>
      <w:bookmarkEnd w:id="22"/>
      <w:r>
        <w:t>Dr. Matthew Levitt</w:t>
      </w:r>
    </w:p>
    <w:p w14:paraId="37F79EE0" w14:textId="77777777" w:rsidR="00DF3F9E" w:rsidRDefault="00F10CC7">
      <w:pPr>
        <w:spacing w:before="240" w:after="240"/>
        <w:rPr>
          <w:b/>
        </w:rPr>
      </w:pPr>
      <w:r>
        <w:rPr>
          <w:b/>
        </w:rPr>
        <w:t>Hezbollah After the War</w:t>
      </w:r>
    </w:p>
    <w:p w14:paraId="3196D4A9" w14:textId="77777777" w:rsidR="00DF3F9E" w:rsidRDefault="00F10CC7" w:rsidP="006468E9">
      <w:pPr>
        <w:numPr>
          <w:ilvl w:val="0"/>
          <w:numId w:val="29"/>
        </w:numPr>
        <w:spacing w:before="240"/>
      </w:pPr>
      <w:r>
        <w:t xml:space="preserve">Hezbollah sustained financial damage during the recent conflict, but </w:t>
      </w:r>
      <w:r>
        <w:rPr>
          <w:b/>
        </w:rPr>
        <w:t>not as much as many believe</w:t>
      </w:r>
      <w:r>
        <w:t>; Iran continues to transfer substantial funds, though the group’s needs now exceed those inflows.</w:t>
      </w:r>
      <w:r>
        <w:br/>
      </w:r>
    </w:p>
    <w:p w14:paraId="026936B5" w14:textId="77777777" w:rsidR="00DF3F9E" w:rsidRDefault="00F10CC7" w:rsidP="006468E9">
      <w:pPr>
        <w:numPr>
          <w:ilvl w:val="0"/>
          <w:numId w:val="29"/>
        </w:numPr>
      </w:pPr>
      <w:r>
        <w:t xml:space="preserve">Funding channels rely heavily on a network of </w:t>
      </w:r>
      <w:r>
        <w:rPr>
          <w:b/>
        </w:rPr>
        <w:t>licensed and u</w:t>
      </w:r>
      <w:r>
        <w:rPr>
          <w:b/>
        </w:rPr>
        <w:t>nlicensed hawala operators</w:t>
      </w:r>
      <w:r>
        <w:t xml:space="preserve"> across Lebanon, Iran, and Iraq—sometimes referred to as the “dirty dozen.”</w:t>
      </w:r>
      <w:r>
        <w:br/>
      </w:r>
    </w:p>
    <w:p w14:paraId="19647308" w14:textId="77777777" w:rsidR="00DF3F9E" w:rsidRDefault="00F10CC7" w:rsidP="006468E9">
      <w:pPr>
        <w:numPr>
          <w:ilvl w:val="0"/>
          <w:numId w:val="29"/>
        </w:numPr>
      </w:pPr>
      <w:r>
        <w:lastRenderedPageBreak/>
        <w:t xml:space="preserve">Banque du Liban recently stated that financial services cannot be provided to </w:t>
      </w:r>
      <w:r>
        <w:rPr>
          <w:b/>
        </w:rPr>
        <w:t>Al-</w:t>
      </w:r>
      <w:proofErr w:type="spellStart"/>
      <w:r>
        <w:rPr>
          <w:b/>
        </w:rPr>
        <w:t>Qard</w:t>
      </w:r>
      <w:proofErr w:type="spellEnd"/>
      <w:r>
        <w:rPr>
          <w:b/>
        </w:rPr>
        <w:t xml:space="preserve"> Al-Hasan</w:t>
      </w:r>
      <w:r>
        <w:t>, Hezbollah’s so-called “bank.” Despite this, the instituti</w:t>
      </w:r>
      <w:r>
        <w:t>on remains active under the guise of a charity and generates revenue through the Lebanese real-estate market.</w:t>
      </w:r>
      <w:r>
        <w:br/>
      </w:r>
    </w:p>
    <w:p w14:paraId="3D9DB301" w14:textId="77777777" w:rsidR="00DF3F9E" w:rsidRDefault="00F10CC7" w:rsidP="006468E9">
      <w:pPr>
        <w:numPr>
          <w:ilvl w:val="0"/>
          <w:numId w:val="29"/>
        </w:numPr>
      </w:pPr>
      <w:r>
        <w:t xml:space="preserve">Hezbollah’s </w:t>
      </w:r>
      <w:r>
        <w:rPr>
          <w:b/>
        </w:rPr>
        <w:t>illicit finance and procurement networks overlap</w:t>
      </w:r>
      <w:r>
        <w:t xml:space="preserve">, complicating disruption efforts; many activities are based in </w:t>
      </w:r>
      <w:r>
        <w:rPr>
          <w:b/>
        </w:rPr>
        <w:t>free trade zones</w:t>
      </w:r>
      <w:r>
        <w:t xml:space="preserve"> wher</w:t>
      </w:r>
      <w:r>
        <w:t>e oversight is weak.</w:t>
      </w:r>
      <w:r>
        <w:br/>
      </w:r>
    </w:p>
    <w:p w14:paraId="65E90793" w14:textId="77777777" w:rsidR="00DF3F9E" w:rsidRDefault="00F10CC7" w:rsidP="006468E9">
      <w:pPr>
        <w:numPr>
          <w:ilvl w:val="0"/>
          <w:numId w:val="29"/>
        </w:numPr>
      </w:pPr>
      <w:r>
        <w:rPr>
          <w:b/>
        </w:rPr>
        <w:t>Designations alone are insufficient</w:t>
      </w:r>
      <w:r>
        <w:t>; without operational authority and enforcement, groups adapt and reconstitute.</w:t>
      </w:r>
      <w:r>
        <w:br/>
      </w:r>
    </w:p>
    <w:p w14:paraId="37D486EB" w14:textId="77777777" w:rsidR="00DF3F9E" w:rsidRDefault="00F10CC7" w:rsidP="006468E9">
      <w:pPr>
        <w:numPr>
          <w:ilvl w:val="0"/>
          <w:numId w:val="29"/>
        </w:numPr>
        <w:spacing w:after="240"/>
      </w:pPr>
      <w:r>
        <w:t xml:space="preserve">A stronger </w:t>
      </w:r>
      <w:r>
        <w:rPr>
          <w:b/>
        </w:rPr>
        <w:t>international coalition</w:t>
      </w:r>
      <w:r>
        <w:t xml:space="preserve"> is needed to deny groups like Hezbollah the ability to procure weapons, raise funds</w:t>
      </w:r>
      <w:r>
        <w:t>, or operate within permissive jurisdictions.</w:t>
      </w:r>
      <w:r>
        <w:br/>
      </w:r>
    </w:p>
    <w:p w14:paraId="6F48AA27" w14:textId="77777777" w:rsidR="00DF3F9E" w:rsidRDefault="00F10CC7">
      <w:pPr>
        <w:spacing w:before="240" w:after="240"/>
      </w:pPr>
      <w:r>
        <w:rPr>
          <w:b/>
        </w:rPr>
        <w:t>Implications</w:t>
      </w:r>
      <w:r>
        <w:rPr>
          <w:b/>
        </w:rPr>
        <w:br/>
      </w:r>
      <w:r>
        <w:t xml:space="preserve">Hezbollah remains financially agile despite sustained pressure. The critical task for the international community is to identify and explain these </w:t>
      </w:r>
      <w:r>
        <w:rPr>
          <w:b/>
        </w:rPr>
        <w:t>hidden financial lifelines</w:t>
      </w:r>
      <w:r>
        <w:t xml:space="preserve"> — hawalas, shadow bank</w:t>
      </w:r>
      <w:r>
        <w:t xml:space="preserve">s, real estate channels, and free trade zones — </w:t>
      </w:r>
      <w:proofErr w:type="gramStart"/>
      <w:r>
        <w:t>in order to</w:t>
      </w:r>
      <w:proofErr w:type="gramEnd"/>
      <w:r>
        <w:t xml:space="preserve"> enable more effective government and enforcement action. CENTEF supports this effort by </w:t>
      </w:r>
      <w:r>
        <w:rPr>
          <w:b/>
        </w:rPr>
        <w:t>researching, documenting, and presenting these networks</w:t>
      </w:r>
      <w:r>
        <w:t xml:space="preserve"> in ways that inform policymakers, regulators, and th</w:t>
      </w:r>
      <w:r>
        <w:t>e broader public.</w:t>
      </w:r>
    </w:p>
    <w:p w14:paraId="51B490A1" w14:textId="77777777" w:rsidR="00DF3F9E" w:rsidRDefault="00F10CC7">
      <w:pPr>
        <w:pStyle w:val="Heading3"/>
        <w:keepNext w:val="0"/>
        <w:keepLines w:val="0"/>
      </w:pPr>
      <w:bookmarkStart w:id="23" w:name="_g44fnnc1se0o" w:colFirst="0" w:colLast="0"/>
      <w:bookmarkEnd w:id="23"/>
      <w:r>
        <w:t>Dr. Shlomit Wagman</w:t>
      </w:r>
    </w:p>
    <w:p w14:paraId="171D5113" w14:textId="77777777" w:rsidR="00DF3F9E" w:rsidRDefault="00F10CC7">
      <w:pPr>
        <w:spacing w:before="240" w:after="240"/>
        <w:rPr>
          <w:b/>
        </w:rPr>
      </w:pPr>
      <w:r>
        <w:rPr>
          <w:b/>
        </w:rPr>
        <w:t>The Next Generation of Terror Financing: Crypto and Fintech</w:t>
      </w:r>
    </w:p>
    <w:p w14:paraId="5ABBFE8C" w14:textId="77777777" w:rsidR="00DF3F9E" w:rsidRDefault="00F10CC7" w:rsidP="006468E9">
      <w:pPr>
        <w:numPr>
          <w:ilvl w:val="0"/>
          <w:numId w:val="30"/>
        </w:numPr>
        <w:spacing w:before="240"/>
      </w:pPr>
      <w:r>
        <w:t xml:space="preserve">The </w:t>
      </w:r>
      <w:r>
        <w:rPr>
          <w:b/>
        </w:rPr>
        <w:t>type of coin matters</w:t>
      </w:r>
      <w:r>
        <w:t xml:space="preserve">: larger, regulated cryptocurrencies (e.g., Bitcoin, USDC) are easier to trace and sanction, while less-regulated tokens (e.g., </w:t>
      </w:r>
      <w:r>
        <w:t>USDT) are harder to confiscate and therefore more attractive to illicit actors. Hamas, for example, abandoned Bitcoin fundraising once it became too easily tracked.</w:t>
      </w:r>
      <w:r>
        <w:br/>
      </w:r>
    </w:p>
    <w:p w14:paraId="792126FC" w14:textId="77777777" w:rsidR="00DF3F9E" w:rsidRDefault="00F10CC7" w:rsidP="006468E9">
      <w:pPr>
        <w:numPr>
          <w:ilvl w:val="0"/>
          <w:numId w:val="30"/>
        </w:numPr>
      </w:pPr>
      <w:r>
        <w:t xml:space="preserve">Estimates suggest that </w:t>
      </w:r>
      <w:r>
        <w:rPr>
          <w:b/>
        </w:rPr>
        <w:t>illicit activity accounts for less than 10% of the crypto economy</w:t>
      </w:r>
      <w:r>
        <w:t xml:space="preserve"> —</w:t>
      </w:r>
      <w:r>
        <w:t xml:space="preserve"> comparable or lower than illicit use of FIAT, which stands at 15–20%.</w:t>
      </w:r>
      <w:r>
        <w:br/>
      </w:r>
    </w:p>
    <w:p w14:paraId="07E1817E" w14:textId="77777777" w:rsidR="00DF3F9E" w:rsidRDefault="00F10CC7" w:rsidP="006468E9">
      <w:pPr>
        <w:numPr>
          <w:ilvl w:val="0"/>
          <w:numId w:val="30"/>
        </w:numPr>
      </w:pPr>
      <w:r>
        <w:t xml:space="preserve">Current </w:t>
      </w:r>
      <w:r>
        <w:rPr>
          <w:b/>
        </w:rPr>
        <w:t>blockchain analytics remain limited</w:t>
      </w:r>
      <w:r>
        <w:t>: they are largely retrospective and forensic, covering only a small fraction of overall transactions.</w:t>
      </w:r>
      <w:r>
        <w:br/>
      </w:r>
    </w:p>
    <w:p w14:paraId="713180A2" w14:textId="77777777" w:rsidR="00DF3F9E" w:rsidRDefault="00F10CC7" w:rsidP="006468E9">
      <w:pPr>
        <w:numPr>
          <w:ilvl w:val="0"/>
          <w:numId w:val="30"/>
        </w:numPr>
      </w:pPr>
      <w:r>
        <w:t xml:space="preserve">A </w:t>
      </w:r>
      <w:r>
        <w:rPr>
          <w:b/>
        </w:rPr>
        <w:t>second generation of blockchain ana</w:t>
      </w:r>
      <w:r>
        <w:rPr>
          <w:b/>
        </w:rPr>
        <w:t>lysis tools</w:t>
      </w:r>
      <w:r>
        <w:t xml:space="preserve"> is needed to provide near real-time monitoring and intervention, across multiple platforms.</w:t>
      </w:r>
      <w:r>
        <w:br/>
      </w:r>
    </w:p>
    <w:p w14:paraId="1320BA18" w14:textId="77777777" w:rsidR="00DF3F9E" w:rsidRDefault="00F10CC7" w:rsidP="006468E9">
      <w:pPr>
        <w:numPr>
          <w:ilvl w:val="0"/>
          <w:numId w:val="30"/>
        </w:numPr>
        <w:spacing w:after="240"/>
      </w:pPr>
      <w:r>
        <w:rPr>
          <w:b/>
        </w:rPr>
        <w:t>AI agents</w:t>
      </w:r>
      <w:r>
        <w:t>, when well trained on financial data, are proving more efficient than human analysts in detecting anomalies and suspicious flows.</w:t>
      </w:r>
      <w:r>
        <w:br/>
      </w:r>
    </w:p>
    <w:p w14:paraId="698FEC47" w14:textId="77777777" w:rsidR="00DF3F9E" w:rsidRDefault="00F10CC7">
      <w:pPr>
        <w:spacing w:before="240" w:after="240"/>
        <w:jc w:val="both"/>
      </w:pPr>
      <w:r>
        <w:rPr>
          <w:b/>
        </w:rPr>
        <w:lastRenderedPageBreak/>
        <w:t>Implicatio</w:t>
      </w:r>
      <w:r>
        <w:rPr>
          <w:b/>
        </w:rPr>
        <w:t>ns</w:t>
      </w:r>
      <w:r>
        <w:rPr>
          <w:b/>
        </w:rPr>
        <w:br/>
      </w:r>
      <w:r>
        <w:t xml:space="preserve">Crypto-financing by terror groups is shifting toward less-regulated stablecoins and away from mainstream tokens, exploiting the current weakness of retrospective-only monitoring. The priority for governments and regulators is to </w:t>
      </w:r>
      <w:r>
        <w:rPr>
          <w:b/>
        </w:rPr>
        <w:t>invest in next-generatio</w:t>
      </w:r>
      <w:r>
        <w:rPr>
          <w:b/>
        </w:rPr>
        <w:t>n, real-time analytics</w:t>
      </w:r>
      <w:r>
        <w:t xml:space="preserve"> and ensure that policy frameworks can adapt to new tokens as they emerge. CENTEF’s role is to </w:t>
      </w:r>
      <w:r>
        <w:rPr>
          <w:b/>
        </w:rPr>
        <w:t>highlight these evolving risks and technical gaps</w:t>
      </w:r>
      <w:r>
        <w:t>, translating complex developments into insights that can inform policymakers and enforcem</w:t>
      </w:r>
      <w:r>
        <w:t>ent agencies.</w:t>
      </w:r>
    </w:p>
    <w:p w14:paraId="51685D86" w14:textId="77777777" w:rsidR="00DF3F9E" w:rsidRDefault="00F10CC7">
      <w:pPr>
        <w:pStyle w:val="Heading3"/>
        <w:keepNext w:val="0"/>
        <w:keepLines w:val="0"/>
        <w:pBdr>
          <w:top w:val="nil"/>
          <w:left w:val="nil"/>
          <w:bottom w:val="nil"/>
          <w:right w:val="nil"/>
          <w:between w:val="nil"/>
        </w:pBdr>
      </w:pPr>
      <w:bookmarkStart w:id="24" w:name="_c9ijxnxx7thy" w:colFirst="0" w:colLast="0"/>
      <w:bookmarkEnd w:id="24"/>
      <w:r>
        <w:t>Juan Montaner</w:t>
      </w:r>
    </w:p>
    <w:p w14:paraId="2BD8AF94" w14:textId="77777777" w:rsidR="00DF3F9E" w:rsidRDefault="00F10CC7">
      <w:pPr>
        <w:spacing w:before="240" w:after="240"/>
        <w:rPr>
          <w:b/>
        </w:rPr>
      </w:pPr>
      <w:r>
        <w:rPr>
          <w:b/>
        </w:rPr>
        <w:t>Operational Use of Crypto by Terrorist Organizations</w:t>
      </w:r>
    </w:p>
    <w:p w14:paraId="32D488B3" w14:textId="77777777" w:rsidR="00DF3F9E" w:rsidRDefault="00F10CC7" w:rsidP="006468E9">
      <w:pPr>
        <w:numPr>
          <w:ilvl w:val="0"/>
          <w:numId w:val="31"/>
        </w:numPr>
        <w:spacing w:before="240"/>
      </w:pPr>
      <w:r>
        <w:t xml:space="preserve">Legal cases have already shown that </w:t>
      </w:r>
      <w:r>
        <w:rPr>
          <w:b/>
        </w:rPr>
        <w:t>over $300 million in cryptocurrency</w:t>
      </w:r>
      <w:r>
        <w:t xml:space="preserve"> has been used by designated groups such as Hamas, Hezbollah, ISIS, al-Qaeda, and Lashkar-e-Taiba, with volumes growing rapidly as younger, tech-savvy donors adopt digital assets.</w:t>
      </w:r>
      <w:r>
        <w:br/>
      </w:r>
    </w:p>
    <w:p w14:paraId="1E8CFCE4" w14:textId="77777777" w:rsidR="00DF3F9E" w:rsidRDefault="00F10CC7" w:rsidP="006468E9">
      <w:pPr>
        <w:numPr>
          <w:ilvl w:val="0"/>
          <w:numId w:val="31"/>
        </w:numPr>
      </w:pPr>
      <w:r>
        <w:t xml:space="preserve">The </w:t>
      </w:r>
      <w:r>
        <w:rPr>
          <w:b/>
        </w:rPr>
        <w:t>modus operandi</w:t>
      </w:r>
      <w:r>
        <w:t xml:space="preserve"> typically involves fake IDs and small intermediaries (of</w:t>
      </w:r>
      <w:r>
        <w:t>ten hawala-like operators) who aggregate funds before routing them through large exchanges with deep liquidity. The exchanges often cannot distinguish whether the intermediary’s transactions are for legitimate or illicit purposes.</w:t>
      </w:r>
      <w:r>
        <w:br/>
      </w:r>
    </w:p>
    <w:p w14:paraId="21CE83B5" w14:textId="77777777" w:rsidR="00DF3F9E" w:rsidRDefault="00F10CC7" w:rsidP="006468E9">
      <w:pPr>
        <w:numPr>
          <w:ilvl w:val="0"/>
          <w:numId w:val="31"/>
        </w:numPr>
      </w:pPr>
      <w:r>
        <w:rPr>
          <w:b/>
        </w:rPr>
        <w:t>Weak enforcement in Afri</w:t>
      </w:r>
      <w:r>
        <w:rPr>
          <w:b/>
        </w:rPr>
        <w:t>ca</w:t>
      </w:r>
      <w:r>
        <w:t>, especially in the Sahel, creates one of the most significant blind spots for counter–terror financing (CTF). Countries in the region lack the resources and regulatory capacity to police flows.</w:t>
      </w:r>
      <w:r>
        <w:br/>
      </w:r>
    </w:p>
    <w:p w14:paraId="0A9F782B" w14:textId="77777777" w:rsidR="00DF3F9E" w:rsidRDefault="00F10CC7" w:rsidP="006468E9">
      <w:pPr>
        <w:numPr>
          <w:ilvl w:val="0"/>
          <w:numId w:val="31"/>
        </w:numPr>
      </w:pPr>
      <w:r>
        <w:t xml:space="preserve">The rise of the </w:t>
      </w:r>
      <w:r>
        <w:rPr>
          <w:b/>
        </w:rPr>
        <w:t>digital dollar in under-regulated jurisdic</w:t>
      </w:r>
      <w:r>
        <w:rPr>
          <w:b/>
        </w:rPr>
        <w:t>tions</w:t>
      </w:r>
      <w:r>
        <w:t xml:space="preserve"> with few financial intelligence units (FIUs) increases exposure: digital currencies are widely used, but oversight is minimal.</w:t>
      </w:r>
      <w:r>
        <w:br/>
      </w:r>
    </w:p>
    <w:p w14:paraId="22D1D30E" w14:textId="77777777" w:rsidR="00DF3F9E" w:rsidRDefault="00F10CC7" w:rsidP="006468E9">
      <w:pPr>
        <w:numPr>
          <w:ilvl w:val="0"/>
          <w:numId w:val="31"/>
        </w:numPr>
        <w:spacing w:after="240"/>
      </w:pPr>
      <w:r>
        <w:t xml:space="preserve">The broader crypto economy is massive—with a market capitalization estimated at </w:t>
      </w:r>
      <w:r>
        <w:rPr>
          <w:b/>
        </w:rPr>
        <w:t>$4 trillion</w:t>
      </w:r>
      <w:r>
        <w:t>—making illicit flows harder to</w:t>
      </w:r>
      <w:r>
        <w:t xml:space="preserve"> isolate and disrupt at scale.</w:t>
      </w:r>
      <w:r>
        <w:br/>
      </w:r>
    </w:p>
    <w:p w14:paraId="669A73DC" w14:textId="77777777" w:rsidR="00DF3F9E" w:rsidRDefault="00F10CC7">
      <w:pPr>
        <w:spacing w:before="240" w:after="240"/>
        <w:jc w:val="both"/>
      </w:pPr>
      <w:r>
        <w:rPr>
          <w:b/>
        </w:rPr>
        <w:t>Implications</w:t>
      </w:r>
      <w:r>
        <w:rPr>
          <w:b/>
        </w:rPr>
        <w:br/>
      </w:r>
      <w:r>
        <w:t>The use of cryptocurrency for terror financing is growing both in scale and sophistication, particularly in regions with weak regulatory capacity and through liquidity hubs where large exchanges lack full visibi</w:t>
      </w:r>
      <w:r>
        <w:t xml:space="preserve">lity. Effective disruption will require </w:t>
      </w:r>
      <w:r>
        <w:rPr>
          <w:b/>
        </w:rPr>
        <w:t>closing jurisdictional blind spots</w:t>
      </w:r>
      <w:r>
        <w:t xml:space="preserve">, </w:t>
      </w:r>
      <w:r>
        <w:rPr>
          <w:b/>
        </w:rPr>
        <w:t>building FIU capacity in vulnerable regions</w:t>
      </w:r>
      <w:r>
        <w:t xml:space="preserve">, and </w:t>
      </w:r>
      <w:r>
        <w:rPr>
          <w:b/>
        </w:rPr>
        <w:t>enhancing due diligence obligations at major exchanges</w:t>
      </w:r>
      <w:r>
        <w:t xml:space="preserve">. CENTEF contributes by </w:t>
      </w:r>
      <w:r>
        <w:rPr>
          <w:b/>
        </w:rPr>
        <w:t>documenting these operational patterns</w:t>
      </w:r>
      <w:r>
        <w:t xml:space="preserve"> and underscori</w:t>
      </w:r>
      <w:r>
        <w:t>ng where enforcement gaps and blind spots must be addressed.</w:t>
      </w:r>
    </w:p>
    <w:p w14:paraId="6B53CA5A" w14:textId="77777777" w:rsidR="0030609F" w:rsidRDefault="0030609F">
      <w:pPr>
        <w:rPr>
          <w:sz w:val="26"/>
          <w:szCs w:val="26"/>
          <w:u w:val="single"/>
        </w:rPr>
      </w:pPr>
      <w:bookmarkStart w:id="25" w:name="_wr0ayjbsc8x8" w:colFirst="0" w:colLast="0"/>
      <w:bookmarkEnd w:id="25"/>
      <w:r>
        <w:br w:type="page"/>
      </w:r>
    </w:p>
    <w:p w14:paraId="4E5BAC77" w14:textId="7F473F49" w:rsidR="00DF3F9E" w:rsidRDefault="00F10CC7">
      <w:pPr>
        <w:pStyle w:val="Heading3"/>
        <w:keepNext w:val="0"/>
        <w:keepLines w:val="0"/>
        <w:pBdr>
          <w:top w:val="nil"/>
          <w:left w:val="nil"/>
          <w:bottom w:val="nil"/>
          <w:right w:val="nil"/>
          <w:between w:val="nil"/>
        </w:pBdr>
      </w:pPr>
      <w:r>
        <w:lastRenderedPageBreak/>
        <w:t>Maj. (Res.) Omer Frenkel</w:t>
      </w:r>
    </w:p>
    <w:p w14:paraId="2DF44080" w14:textId="77777777" w:rsidR="00DF3F9E" w:rsidRDefault="00F10CC7">
      <w:pPr>
        <w:spacing w:before="240" w:after="240"/>
        <w:rPr>
          <w:b/>
        </w:rPr>
      </w:pPr>
      <w:r>
        <w:rPr>
          <w:b/>
        </w:rPr>
        <w:t>Analytics and Predictive Technology</w:t>
      </w:r>
    </w:p>
    <w:p w14:paraId="0E5B3E3A" w14:textId="77777777" w:rsidR="00DF3F9E" w:rsidRDefault="00F10CC7" w:rsidP="006468E9">
      <w:pPr>
        <w:numPr>
          <w:ilvl w:val="0"/>
          <w:numId w:val="32"/>
        </w:numPr>
        <w:spacing w:before="240"/>
      </w:pPr>
      <w:r>
        <w:t xml:space="preserve">Current counter–terror finance tools are largely </w:t>
      </w:r>
      <w:r>
        <w:rPr>
          <w:b/>
        </w:rPr>
        <w:t>investigative and retrospective</w:t>
      </w:r>
      <w:r>
        <w:t xml:space="preserve">; the field urgently needs </w:t>
      </w:r>
      <w:r>
        <w:rPr>
          <w:b/>
        </w:rPr>
        <w:t>predictive systems</w:t>
      </w:r>
      <w:r>
        <w:t xml:space="preserve"> that can surface risks and suspicious networks before funds are deployed.</w:t>
      </w:r>
      <w:r>
        <w:br/>
      </w:r>
    </w:p>
    <w:p w14:paraId="5D6EF4BC" w14:textId="77777777" w:rsidR="00DF3F9E" w:rsidRDefault="00F10CC7" w:rsidP="006468E9">
      <w:pPr>
        <w:numPr>
          <w:ilvl w:val="0"/>
          <w:numId w:val="32"/>
        </w:numPr>
      </w:pPr>
      <w:r>
        <w:t xml:space="preserve">Full de-anonymization requires </w:t>
      </w:r>
      <w:r>
        <w:rPr>
          <w:b/>
        </w:rPr>
        <w:t>fusion across multiple domains</w:t>
      </w:r>
      <w:r>
        <w:t>—financial data providers, OSINT, SIGINT, IP interception, and broader cyb</w:t>
      </w:r>
      <w:r>
        <w:t>er/metadata streams.</w:t>
      </w:r>
      <w:r>
        <w:br/>
      </w:r>
    </w:p>
    <w:p w14:paraId="04AFBCF2" w14:textId="77777777" w:rsidR="00DF3F9E" w:rsidRDefault="00F10CC7" w:rsidP="006468E9">
      <w:pPr>
        <w:numPr>
          <w:ilvl w:val="0"/>
          <w:numId w:val="32"/>
        </w:numPr>
      </w:pPr>
      <w:r>
        <w:t xml:space="preserve">Analysts face bottlenecks: they must be </w:t>
      </w:r>
      <w:r>
        <w:rPr>
          <w:b/>
        </w:rPr>
        <w:t>well trained in both finance and AI-driven tools</w:t>
      </w:r>
      <w:r>
        <w:t xml:space="preserve"> to interpret data effectively and overcome analytic barriers.</w:t>
      </w:r>
      <w:r>
        <w:br/>
      </w:r>
    </w:p>
    <w:p w14:paraId="64F051ED" w14:textId="77777777" w:rsidR="00DF3F9E" w:rsidRDefault="00F10CC7" w:rsidP="006468E9">
      <w:pPr>
        <w:numPr>
          <w:ilvl w:val="0"/>
          <w:numId w:val="32"/>
        </w:numPr>
        <w:spacing w:after="240"/>
      </w:pPr>
      <w:r>
        <w:t xml:space="preserve">In practice, </w:t>
      </w:r>
      <w:r>
        <w:rPr>
          <w:b/>
        </w:rPr>
        <w:t>OSINT often provides higher-value leads</w:t>
      </w:r>
      <w:r>
        <w:t xml:space="preserve"> for mapping financial activit</w:t>
      </w:r>
      <w:r>
        <w:t>ies, with SIGINT and cyber serving more as complementary inputs.</w:t>
      </w:r>
      <w:r>
        <w:br/>
      </w:r>
    </w:p>
    <w:p w14:paraId="7283CBE8" w14:textId="77777777" w:rsidR="00DF3F9E" w:rsidRDefault="00F10CC7">
      <w:pPr>
        <w:spacing w:before="240" w:after="240"/>
        <w:jc w:val="both"/>
      </w:pPr>
      <w:r>
        <w:rPr>
          <w:b/>
        </w:rPr>
        <w:t>Implications</w:t>
      </w:r>
      <w:r>
        <w:rPr>
          <w:b/>
        </w:rPr>
        <w:br/>
      </w:r>
      <w:r>
        <w:t xml:space="preserve">Shifting from retrospective investigation to predictive analytics is central to closing gaps in terror finance disruption. This requires investment in </w:t>
      </w:r>
      <w:r>
        <w:rPr>
          <w:b/>
        </w:rPr>
        <w:t>multi-source fusion platfo</w:t>
      </w:r>
      <w:r>
        <w:rPr>
          <w:b/>
        </w:rPr>
        <w:t>rms</w:t>
      </w:r>
      <w:r>
        <w:t xml:space="preserve"> and in </w:t>
      </w:r>
      <w:r>
        <w:rPr>
          <w:b/>
        </w:rPr>
        <w:t>specialized analyst training</w:t>
      </w:r>
      <w:r>
        <w:t xml:space="preserve"> that blends financial literacy with technical expertise. CENTEF’s role is to </w:t>
      </w:r>
      <w:r>
        <w:rPr>
          <w:b/>
        </w:rPr>
        <w:t>spotlight these needs and convene dialogue</w:t>
      </w:r>
      <w:r>
        <w:t xml:space="preserve"> between regulators, technologists, and enforcement bodies to accelerate adoption.</w:t>
      </w:r>
    </w:p>
    <w:p w14:paraId="4532892E" w14:textId="77777777" w:rsidR="00DF3F9E" w:rsidRDefault="00F10CC7">
      <w:pPr>
        <w:pStyle w:val="Heading3"/>
        <w:keepNext w:val="0"/>
        <w:keepLines w:val="0"/>
        <w:pBdr>
          <w:top w:val="nil"/>
          <w:left w:val="nil"/>
          <w:bottom w:val="nil"/>
          <w:right w:val="nil"/>
          <w:between w:val="nil"/>
        </w:pBdr>
      </w:pPr>
      <w:bookmarkStart w:id="26" w:name="_jbove47xki2y" w:colFirst="0" w:colLast="0"/>
      <w:bookmarkEnd w:id="26"/>
      <w:r>
        <w:t xml:space="preserve">Adv. </w:t>
      </w:r>
      <w:proofErr w:type="spellStart"/>
      <w:r>
        <w:t>Ilit</w:t>
      </w:r>
      <w:proofErr w:type="spellEnd"/>
      <w:r>
        <w:t xml:space="preserve"> </w:t>
      </w:r>
      <w:proofErr w:type="spellStart"/>
      <w:r>
        <w:t>Ostr</w:t>
      </w:r>
      <w:r>
        <w:t>ovitch</w:t>
      </w:r>
      <w:proofErr w:type="spellEnd"/>
      <w:r>
        <w:t>-Levi</w:t>
      </w:r>
    </w:p>
    <w:p w14:paraId="3EC573F7" w14:textId="77777777" w:rsidR="00DF3F9E" w:rsidRDefault="00F10CC7">
      <w:pPr>
        <w:spacing w:before="240" w:after="240"/>
        <w:rPr>
          <w:b/>
        </w:rPr>
      </w:pPr>
      <w:r>
        <w:rPr>
          <w:b/>
        </w:rPr>
        <w:t>The Crime–Terror Financing Nexus</w:t>
      </w:r>
    </w:p>
    <w:p w14:paraId="37FEA4CC" w14:textId="77777777" w:rsidR="00DF3F9E" w:rsidRDefault="00F10CC7" w:rsidP="006468E9">
      <w:pPr>
        <w:numPr>
          <w:ilvl w:val="0"/>
          <w:numId w:val="33"/>
        </w:numPr>
        <w:spacing w:before="240"/>
      </w:pPr>
      <w:r>
        <w:rPr>
          <w:i/>
        </w:rPr>
        <w:t>“There is no legitimate money that funds terror; all funding for terrorism is derived from criminal activity.”</w:t>
      </w:r>
      <w:r>
        <w:t xml:space="preserve"> The overlap between financial crime and terror financing is so significant that most FIUs are tasked</w:t>
      </w:r>
      <w:r>
        <w:t xml:space="preserve"> with both.</w:t>
      </w:r>
      <w:r>
        <w:br/>
      </w:r>
    </w:p>
    <w:p w14:paraId="3F04E653" w14:textId="77777777" w:rsidR="00DF3F9E" w:rsidRDefault="00F10CC7" w:rsidP="006468E9">
      <w:pPr>
        <w:numPr>
          <w:ilvl w:val="0"/>
          <w:numId w:val="33"/>
        </w:numPr>
      </w:pPr>
      <w:r>
        <w:t xml:space="preserve">October 7 served as a </w:t>
      </w:r>
      <w:r>
        <w:rPr>
          <w:b/>
        </w:rPr>
        <w:t>wake-up call for European agencies</w:t>
      </w:r>
      <w:r>
        <w:t xml:space="preserve">, exposing major intelligence gaps. Israel provided leads that helped establish </w:t>
      </w:r>
      <w:r>
        <w:rPr>
          <w:b/>
        </w:rPr>
        <w:t>CTFTI</w:t>
      </w:r>
      <w:r>
        <w:t xml:space="preserve">—an international task force chaired by Israel, Germany, the Netherlands, and the U.S.—which produced </w:t>
      </w:r>
      <w:r>
        <w:t>a comprehensive 300-page intelligence map of Hamas entities.</w:t>
      </w:r>
      <w:r>
        <w:br/>
      </w:r>
    </w:p>
    <w:p w14:paraId="3A04CB2E" w14:textId="77777777" w:rsidR="00DF3F9E" w:rsidRDefault="00F10CC7" w:rsidP="006468E9">
      <w:pPr>
        <w:numPr>
          <w:ilvl w:val="0"/>
          <w:numId w:val="33"/>
        </w:numPr>
      </w:pPr>
      <w:r>
        <w:t xml:space="preserve">The Israeli FIU has already mapped extensive networks of </w:t>
      </w:r>
      <w:r>
        <w:rPr>
          <w:b/>
        </w:rPr>
        <w:t>individuals, companies, bank accounts, NGOs, and money service providers</w:t>
      </w:r>
      <w:r>
        <w:t>, generating actionable intelligence to prioritize targets.</w:t>
      </w:r>
      <w:r>
        <w:br/>
      </w:r>
    </w:p>
    <w:p w14:paraId="64F3730F" w14:textId="77777777" w:rsidR="00DF3F9E" w:rsidRDefault="00F10CC7" w:rsidP="006468E9">
      <w:pPr>
        <w:numPr>
          <w:ilvl w:val="0"/>
          <w:numId w:val="33"/>
        </w:numPr>
        <w:spacing w:after="240"/>
      </w:pPr>
      <w:r>
        <w:t>A pe</w:t>
      </w:r>
      <w:r>
        <w:t xml:space="preserve">rsistent challenge in the West is the </w:t>
      </w:r>
      <w:r>
        <w:rPr>
          <w:b/>
        </w:rPr>
        <w:t>lack of a dedicated terror-financing statute</w:t>
      </w:r>
      <w:r>
        <w:t xml:space="preserve">. Cases are often prosecuted as money laundering, undermining the specificity and deterrent </w:t>
      </w:r>
      <w:r>
        <w:lastRenderedPageBreak/>
        <w:t>power of TF legislation.</w:t>
      </w:r>
      <w:r>
        <w:br/>
      </w:r>
    </w:p>
    <w:p w14:paraId="6A91EDFF" w14:textId="77777777" w:rsidR="00DF3F9E" w:rsidRDefault="00F10CC7">
      <w:pPr>
        <w:spacing w:before="240" w:after="240"/>
        <w:jc w:val="both"/>
      </w:pPr>
      <w:r>
        <w:rPr>
          <w:b/>
        </w:rPr>
        <w:t>Implications</w:t>
      </w:r>
      <w:r>
        <w:rPr>
          <w:b/>
        </w:rPr>
        <w:br/>
      </w:r>
      <w:r>
        <w:t>Terror financing cannot be disentangled fro</w:t>
      </w:r>
      <w:r>
        <w:t xml:space="preserve">m financial crime, requiring both legal recognition and institutional coordination. The experience of October 7 shows that </w:t>
      </w:r>
      <w:r>
        <w:rPr>
          <w:b/>
        </w:rPr>
        <w:t>task-force models and intelligence mapping</w:t>
      </w:r>
      <w:r>
        <w:t xml:space="preserve"> can yield powerful results, but broader adoption depends on </w:t>
      </w:r>
      <w:r>
        <w:rPr>
          <w:b/>
        </w:rPr>
        <w:t>legal reform and international</w:t>
      </w:r>
      <w:r>
        <w:rPr>
          <w:b/>
        </w:rPr>
        <w:t xml:space="preserve"> cooperation</w:t>
      </w:r>
      <w:r>
        <w:t xml:space="preserve">. CENTEF can add value by </w:t>
      </w:r>
      <w:r>
        <w:rPr>
          <w:b/>
        </w:rPr>
        <w:t>documenting best practices</w:t>
      </w:r>
      <w:r>
        <w:t xml:space="preserve"> and highlighting where statutory and institutional gaps undermine enforcement.</w:t>
      </w:r>
    </w:p>
    <w:p w14:paraId="7B6450E2" w14:textId="77777777" w:rsidR="00DF3F9E" w:rsidRDefault="00F10CC7">
      <w:pPr>
        <w:pStyle w:val="Heading3"/>
        <w:keepNext w:val="0"/>
        <w:keepLines w:val="0"/>
        <w:pBdr>
          <w:top w:val="nil"/>
          <w:left w:val="nil"/>
          <w:bottom w:val="nil"/>
          <w:right w:val="nil"/>
          <w:between w:val="nil"/>
        </w:pBdr>
      </w:pPr>
      <w:bookmarkStart w:id="27" w:name="_vlwzjonks6t6" w:colFirst="0" w:colLast="0"/>
      <w:bookmarkEnd w:id="27"/>
      <w:r>
        <w:t>Dr. Udi Levy</w:t>
      </w:r>
    </w:p>
    <w:p w14:paraId="527FFAF7" w14:textId="77777777" w:rsidR="00DF3F9E" w:rsidRDefault="00F10CC7">
      <w:pPr>
        <w:spacing w:before="240" w:after="240"/>
        <w:rPr>
          <w:b/>
        </w:rPr>
      </w:pPr>
      <w:r>
        <w:rPr>
          <w:b/>
        </w:rPr>
        <w:t>Hamas Captured Documents and Operational Insights</w:t>
      </w:r>
    </w:p>
    <w:p w14:paraId="12CBC228" w14:textId="77777777" w:rsidR="00DF3F9E" w:rsidRDefault="00F10CC7" w:rsidP="006468E9">
      <w:pPr>
        <w:numPr>
          <w:ilvl w:val="0"/>
          <w:numId w:val="34"/>
        </w:numPr>
        <w:spacing w:before="240"/>
      </w:pPr>
      <w:r>
        <w:t xml:space="preserve">The IDF seized </w:t>
      </w:r>
      <w:r>
        <w:rPr>
          <w:b/>
        </w:rPr>
        <w:t xml:space="preserve">thousands of financial </w:t>
      </w:r>
      <w:r>
        <w:rPr>
          <w:b/>
        </w:rPr>
        <w:t>documents in Gaza</w:t>
      </w:r>
      <w:r>
        <w:t>, revealing Hamas’ bankers, funding sources, NGO ties, and procurement networks. These materials are not classified intelligence and should be made public to empower researchers and the wider community.</w:t>
      </w:r>
      <w:r>
        <w:br/>
      </w:r>
    </w:p>
    <w:p w14:paraId="2DE425A4" w14:textId="77777777" w:rsidR="00DF3F9E" w:rsidRDefault="00F10CC7" w:rsidP="006468E9">
      <w:pPr>
        <w:numPr>
          <w:ilvl w:val="0"/>
          <w:numId w:val="34"/>
        </w:numPr>
      </w:pPr>
      <w:r>
        <w:t>Since Assad’s departure from Syria,</w:t>
      </w:r>
      <w:r>
        <w:t xml:space="preserve"> Hezbollah and Iran have </w:t>
      </w:r>
      <w:r>
        <w:rPr>
          <w:b/>
        </w:rPr>
        <w:t xml:space="preserve">shifted much of their </w:t>
      </w:r>
      <w:proofErr w:type="spellStart"/>
      <w:r>
        <w:rPr>
          <w:b/>
        </w:rPr>
        <w:t>captagon</w:t>
      </w:r>
      <w:proofErr w:type="spellEnd"/>
      <w:r>
        <w:rPr>
          <w:b/>
        </w:rPr>
        <w:t xml:space="preserve"> production and trade to Yemen</w:t>
      </w:r>
      <w:r>
        <w:t>, adapting their operations to changing regional dynamics.</w:t>
      </w:r>
      <w:r>
        <w:br/>
      </w:r>
    </w:p>
    <w:p w14:paraId="2484C565" w14:textId="77777777" w:rsidR="00DF3F9E" w:rsidRDefault="00F10CC7" w:rsidP="006468E9">
      <w:pPr>
        <w:numPr>
          <w:ilvl w:val="0"/>
          <w:numId w:val="34"/>
        </w:numPr>
      </w:pPr>
      <w:r>
        <w:t xml:space="preserve">While leaks such as </w:t>
      </w:r>
      <w:proofErr w:type="spellStart"/>
      <w:r>
        <w:rPr>
          <w:b/>
        </w:rPr>
        <w:t>WikiIran</w:t>
      </w:r>
      <w:proofErr w:type="spellEnd"/>
      <w:r>
        <w:t xml:space="preserve"> exposed significant parts of Iran’s financial infrastructure, the core problem is </w:t>
      </w:r>
      <w:r>
        <w:t xml:space="preserve">often not intelligence gaps but </w:t>
      </w:r>
      <w:r>
        <w:rPr>
          <w:b/>
        </w:rPr>
        <w:t>lack of analytic capacity and political will</w:t>
      </w:r>
      <w:r>
        <w:t xml:space="preserve"> in the West to act decisively.</w:t>
      </w:r>
      <w:r>
        <w:br/>
      </w:r>
    </w:p>
    <w:p w14:paraId="14956BBE" w14:textId="77777777" w:rsidR="00DF3F9E" w:rsidRDefault="00F10CC7" w:rsidP="006468E9">
      <w:pPr>
        <w:numPr>
          <w:ilvl w:val="0"/>
          <w:numId w:val="34"/>
        </w:numPr>
      </w:pPr>
      <w:r>
        <w:t xml:space="preserve">Hamas’ continued access to funds directly enables recruitment: with </w:t>
      </w:r>
      <w:r>
        <w:rPr>
          <w:b/>
        </w:rPr>
        <w:t>extremely high unemployment in Gaza</w:t>
      </w:r>
      <w:r>
        <w:t>, the promise of a salary is enough to bring</w:t>
      </w:r>
      <w:r>
        <w:t xml:space="preserve"> in new members. We will not be able to prevail </w:t>
      </w:r>
      <w:proofErr w:type="gramStart"/>
      <w:r>
        <w:t>as long as</w:t>
      </w:r>
      <w:proofErr w:type="gramEnd"/>
      <w:r>
        <w:t xml:space="preserve"> Hamas receives cash flows into Gaza.</w:t>
      </w:r>
      <w:r>
        <w:br/>
      </w:r>
    </w:p>
    <w:p w14:paraId="43530667" w14:textId="77777777" w:rsidR="00DF3F9E" w:rsidRDefault="00F10CC7" w:rsidP="006468E9">
      <w:pPr>
        <w:numPr>
          <w:ilvl w:val="0"/>
          <w:numId w:val="34"/>
        </w:numPr>
        <w:spacing w:after="240"/>
      </w:pPr>
      <w:r>
        <w:t xml:space="preserve">Stronger </w:t>
      </w:r>
      <w:r>
        <w:rPr>
          <w:b/>
        </w:rPr>
        <w:t>legal and regulatory frameworks</w:t>
      </w:r>
      <w:r>
        <w:t xml:space="preserve"> are needed to hold financial intermediaries accountable. For example, </w:t>
      </w:r>
      <w:r>
        <w:rPr>
          <w:b/>
        </w:rPr>
        <w:t>Binance now faces lawsuits</w:t>
      </w:r>
      <w:r>
        <w:t xml:space="preserve"> over its role in fina</w:t>
      </w:r>
      <w:r>
        <w:t>ncing activity tied to October 7.</w:t>
      </w:r>
      <w:r>
        <w:br/>
      </w:r>
    </w:p>
    <w:p w14:paraId="632987F7" w14:textId="77777777" w:rsidR="00DF3F9E" w:rsidRDefault="00F10CC7">
      <w:pPr>
        <w:spacing w:before="240" w:after="240"/>
        <w:jc w:val="both"/>
      </w:pPr>
      <w:r>
        <w:rPr>
          <w:b/>
        </w:rPr>
        <w:t>Implications</w:t>
      </w:r>
      <w:r>
        <w:rPr>
          <w:b/>
        </w:rPr>
        <w:br/>
      </w:r>
      <w:r>
        <w:t xml:space="preserve">Financial documents and captured materials are invaluable for mapping terror financing, but their impact depends on </w:t>
      </w:r>
      <w:r>
        <w:rPr>
          <w:b/>
        </w:rPr>
        <w:t>transparency, analysis, and the willingness to act</w:t>
      </w:r>
      <w:r>
        <w:t>. Disruption efforts must combine public e</w:t>
      </w:r>
      <w:r>
        <w:t xml:space="preserve">xposure of illicit ties, investment in analytic capacity, and stronger legal accountability for financial intermediaries. CENTEF can support by </w:t>
      </w:r>
      <w:r>
        <w:rPr>
          <w:b/>
        </w:rPr>
        <w:t>translating raw material into accessible financial and criminal-terror finance research</w:t>
      </w:r>
      <w:r>
        <w:t xml:space="preserve"> that broadens awareness </w:t>
      </w:r>
      <w:r>
        <w:t>and drives policy responses.</w:t>
      </w:r>
    </w:p>
    <w:p w14:paraId="39A0699D" w14:textId="77777777" w:rsidR="0030609F" w:rsidRDefault="0030609F">
      <w:pPr>
        <w:rPr>
          <w:sz w:val="26"/>
          <w:szCs w:val="26"/>
          <w:u w:val="single"/>
        </w:rPr>
      </w:pPr>
      <w:bookmarkStart w:id="28" w:name="_op69jcq37nim" w:colFirst="0" w:colLast="0"/>
      <w:bookmarkEnd w:id="28"/>
      <w:r>
        <w:br w:type="page"/>
      </w:r>
    </w:p>
    <w:p w14:paraId="4B51F3CF" w14:textId="0886E233" w:rsidR="00DF3F9E" w:rsidRDefault="00F10CC7">
      <w:pPr>
        <w:pStyle w:val="Heading3"/>
        <w:keepNext w:val="0"/>
        <w:keepLines w:val="0"/>
        <w:pBdr>
          <w:top w:val="nil"/>
          <w:left w:val="nil"/>
          <w:bottom w:val="nil"/>
          <w:right w:val="nil"/>
          <w:between w:val="nil"/>
        </w:pBdr>
      </w:pPr>
      <w:r>
        <w:lastRenderedPageBreak/>
        <w:t>Roy Agagny, CPA</w:t>
      </w:r>
    </w:p>
    <w:p w14:paraId="22032750" w14:textId="77777777" w:rsidR="00DF3F9E" w:rsidRDefault="00F10CC7">
      <w:pPr>
        <w:spacing w:before="240" w:after="240"/>
        <w:rPr>
          <w:b/>
        </w:rPr>
      </w:pPr>
      <w:r>
        <w:rPr>
          <w:b/>
        </w:rPr>
        <w:t>State-Linked Finance and Soft Power</w:t>
      </w:r>
    </w:p>
    <w:p w14:paraId="6E07FD1B" w14:textId="77777777" w:rsidR="00DF3F9E" w:rsidRDefault="00F10CC7" w:rsidP="00525898">
      <w:pPr>
        <w:numPr>
          <w:ilvl w:val="0"/>
          <w:numId w:val="35"/>
        </w:numPr>
        <w:spacing w:before="240"/>
      </w:pPr>
      <w:r>
        <w:t xml:space="preserve">Iranian shadow networks often rely on </w:t>
      </w:r>
      <w:r>
        <w:rPr>
          <w:b/>
        </w:rPr>
        <w:t>family-based structures</w:t>
      </w:r>
      <w:r>
        <w:t>. One such network, led by three Iranian brothers, registered dozens of companies across the UAE, Qatar, Hong Ko</w:t>
      </w:r>
      <w:r>
        <w:t>ng, and elsewhere. These fronts facilitated payments for unreported oil sales (notably to China) and channeled funds to terror groups and Iran’s missile program. The network was sanctioned by the U.S. in 2025.</w:t>
      </w:r>
      <w:r>
        <w:br/>
      </w:r>
    </w:p>
    <w:p w14:paraId="4385D4DE" w14:textId="77777777" w:rsidR="00DF3F9E" w:rsidRDefault="00F10CC7" w:rsidP="00525898">
      <w:pPr>
        <w:numPr>
          <w:ilvl w:val="0"/>
          <w:numId w:val="35"/>
        </w:numPr>
      </w:pPr>
      <w:r>
        <w:t xml:space="preserve">Qatar has invested more than </w:t>
      </w:r>
      <w:r>
        <w:rPr>
          <w:b/>
        </w:rPr>
        <w:t>€1 billion in st</w:t>
      </w:r>
      <w:r>
        <w:rPr>
          <w:b/>
        </w:rPr>
        <w:t>rategic assets</w:t>
      </w:r>
      <w:r>
        <w:t xml:space="preserve"> in the West over the past decade—including stakes in the London Stock Exchange, Citi, Barclays, Heathrow Airport, and even iconic assets such as the Empire State Building and European football clubs. These investments provide both </w:t>
      </w:r>
      <w:r>
        <w:rPr>
          <w:b/>
        </w:rPr>
        <w:t>soft power</w:t>
      </w:r>
      <w:r>
        <w:rPr>
          <w:b/>
        </w:rPr>
        <w:t xml:space="preserve"> influence</w:t>
      </w:r>
      <w:r>
        <w:t xml:space="preserve"> and a </w:t>
      </w:r>
      <w:r>
        <w:rPr>
          <w:b/>
        </w:rPr>
        <w:t>financial shield</w:t>
      </w:r>
      <w:r>
        <w:t xml:space="preserve"> against scrutiny.</w:t>
      </w:r>
      <w:r>
        <w:br/>
      </w:r>
    </w:p>
    <w:p w14:paraId="00441D66" w14:textId="77777777" w:rsidR="00DF3F9E" w:rsidRDefault="00F10CC7" w:rsidP="00525898">
      <w:pPr>
        <w:numPr>
          <w:ilvl w:val="0"/>
          <w:numId w:val="35"/>
        </w:numPr>
      </w:pPr>
      <w:r>
        <w:t xml:space="preserve">In parallel, the </w:t>
      </w:r>
      <w:r>
        <w:rPr>
          <w:b/>
        </w:rPr>
        <w:t>Qatar Foundation for Education</w:t>
      </w:r>
      <w:r>
        <w:t xml:space="preserve"> has spent billions financing Muslim institutions and activities in the West—from schools and summer camps to mosques, university programs, and scholarships</w:t>
      </w:r>
      <w:r>
        <w:t>. In the U.S. alone, such investments total more than $5 billion.</w:t>
      </w:r>
      <w:r>
        <w:br/>
      </w:r>
    </w:p>
    <w:p w14:paraId="50286FE0" w14:textId="77777777" w:rsidR="00DF3F9E" w:rsidRDefault="00F10CC7" w:rsidP="00525898">
      <w:pPr>
        <w:numPr>
          <w:ilvl w:val="0"/>
          <w:numId w:val="35"/>
        </w:numPr>
        <w:spacing w:after="240"/>
      </w:pPr>
      <w:r>
        <w:t xml:space="preserve">This </w:t>
      </w:r>
      <w:r>
        <w:rPr>
          <w:b/>
        </w:rPr>
        <w:t>blend of soft power and financial activity</w:t>
      </w:r>
      <w:r>
        <w:t xml:space="preserve"> creates fertile ground for political influence, anti-Israel activism, and the spread of extremist ideology. The case of Texas A&amp;M’s research </w:t>
      </w:r>
      <w:r>
        <w:t>facility in Qatar—where nuclear research IP was contractually owned by Qatar until the program was shut down after public backlash—illustrates the risks.</w:t>
      </w:r>
      <w:r>
        <w:br/>
      </w:r>
    </w:p>
    <w:p w14:paraId="3A58C975" w14:textId="77777777" w:rsidR="00DF3F9E" w:rsidRDefault="00F10CC7">
      <w:pPr>
        <w:spacing w:before="240" w:after="240"/>
        <w:jc w:val="both"/>
      </w:pPr>
      <w:r>
        <w:rPr>
          <w:b/>
        </w:rPr>
        <w:t>Implications</w:t>
      </w:r>
      <w:r>
        <w:rPr>
          <w:b/>
        </w:rPr>
        <w:br/>
      </w:r>
      <w:r>
        <w:t xml:space="preserve">The overlap between </w:t>
      </w:r>
      <w:r>
        <w:rPr>
          <w:b/>
        </w:rPr>
        <w:t>state-directed shadow finance and soft power investment</w:t>
      </w:r>
      <w:r>
        <w:t xml:space="preserve"> blurs the li</w:t>
      </w:r>
      <w:r>
        <w:t xml:space="preserve">ne between influence-building and direct support for terrorism. Effective countermeasures require deeper </w:t>
      </w:r>
      <w:r>
        <w:rPr>
          <w:b/>
        </w:rPr>
        <w:t>ownership transparency (UBO), oversight of foreign investment, and scrutiny of philanthropic flows</w:t>
      </w:r>
      <w:r>
        <w:t xml:space="preserve"> that may serve as ideological or financial shields. </w:t>
      </w:r>
      <w:r>
        <w:t xml:space="preserve">CENTEF contributes by </w:t>
      </w:r>
      <w:r>
        <w:rPr>
          <w:b/>
        </w:rPr>
        <w:t>mapping these patterns</w:t>
      </w:r>
      <w:r>
        <w:t xml:space="preserve"> and highlighting how soft power and terror financing intertwine in ways that require stronger policy responses.</w:t>
      </w:r>
    </w:p>
    <w:p w14:paraId="476373D4" w14:textId="77777777" w:rsidR="00DF3F9E" w:rsidRDefault="00F10CC7">
      <w:r>
        <w:rPr>
          <w:noProof/>
        </w:rPr>
        <w:pict w14:anchorId="38DB0D0F">
          <v:rect id="_x0000_i1026" alt="" style="width:468pt;height:.05pt;mso-width-percent:0;mso-height-percent:0;mso-width-percent:0;mso-height-percent:0" o:hralign="center" o:hrstd="t" o:hr="t" fillcolor="#a0a0a0" stroked="f"/>
        </w:pict>
      </w:r>
    </w:p>
    <w:p w14:paraId="5DE978E7" w14:textId="77777777" w:rsidR="0030609F" w:rsidRDefault="0030609F">
      <w:pPr>
        <w:rPr>
          <w:b/>
          <w:sz w:val="28"/>
          <w:szCs w:val="28"/>
        </w:rPr>
      </w:pPr>
      <w:bookmarkStart w:id="29" w:name="_cg3816qo50x7" w:colFirst="0" w:colLast="0"/>
      <w:bookmarkEnd w:id="29"/>
      <w:r>
        <w:br w:type="page"/>
      </w:r>
    </w:p>
    <w:p w14:paraId="5D2CF2C0" w14:textId="5A007085" w:rsidR="00DF3F9E" w:rsidRDefault="00F10CC7">
      <w:pPr>
        <w:pStyle w:val="Heading2"/>
        <w:ind w:left="0" w:firstLine="0"/>
      </w:pPr>
      <w:r>
        <w:lastRenderedPageBreak/>
        <w:t>Closed Roundtable - Key Insights</w:t>
      </w:r>
    </w:p>
    <w:p w14:paraId="206996A1" w14:textId="77777777" w:rsidR="00DF3F9E" w:rsidRDefault="00DF3F9E"/>
    <w:p w14:paraId="0DC46107" w14:textId="77777777" w:rsidR="00DF3F9E" w:rsidRPr="00D05B6A" w:rsidRDefault="00F10CC7">
      <w:pPr>
        <w:rPr>
          <w:iCs/>
        </w:rPr>
      </w:pPr>
      <w:r w:rsidRPr="00D05B6A">
        <w:rPr>
          <w:iCs/>
        </w:rPr>
        <w:t xml:space="preserve">Panelists: Michael (Mikey) Gallant, Dr. Eitan Azani, Dr. </w:t>
      </w:r>
      <w:proofErr w:type="spellStart"/>
      <w:r w:rsidRPr="00D05B6A">
        <w:rPr>
          <w:iCs/>
        </w:rPr>
        <w:t>Emmanuele</w:t>
      </w:r>
      <w:proofErr w:type="spellEnd"/>
      <w:r w:rsidRPr="00D05B6A">
        <w:rPr>
          <w:iCs/>
        </w:rPr>
        <w:t xml:space="preserve"> Ottolenghi, Nir </w:t>
      </w:r>
      <w:proofErr w:type="spellStart"/>
      <w:r w:rsidRPr="00D05B6A">
        <w:rPr>
          <w:iCs/>
        </w:rPr>
        <w:t>Klaron</w:t>
      </w:r>
      <w:proofErr w:type="spellEnd"/>
      <w:r w:rsidRPr="00D05B6A">
        <w:rPr>
          <w:iCs/>
        </w:rPr>
        <w:t>.</w:t>
      </w:r>
    </w:p>
    <w:p w14:paraId="41CB0868" w14:textId="77777777" w:rsidR="00DF3F9E" w:rsidRDefault="00F10CC7">
      <w:pPr>
        <w:pStyle w:val="Heading3"/>
        <w:keepNext w:val="0"/>
        <w:keepLines w:val="0"/>
        <w:spacing w:before="280"/>
        <w:jc w:val="left"/>
        <w:rPr>
          <w:b/>
          <w:u w:val="none"/>
        </w:rPr>
      </w:pPr>
      <w:bookmarkStart w:id="30" w:name="_t7q7zfjyktcv" w:colFirst="0" w:colLast="0"/>
      <w:bookmarkEnd w:id="30"/>
      <w:r>
        <w:rPr>
          <w:b/>
          <w:u w:val="none"/>
        </w:rPr>
        <w:t>Hezbollah – Roundtable Summary</w:t>
      </w:r>
    </w:p>
    <w:p w14:paraId="250E66D5" w14:textId="77777777" w:rsidR="00DF3F9E" w:rsidRDefault="00F10CC7" w:rsidP="00D05B6A">
      <w:pPr>
        <w:numPr>
          <w:ilvl w:val="0"/>
          <w:numId w:val="21"/>
        </w:numPr>
        <w:spacing w:before="240"/>
      </w:pPr>
      <w:r>
        <w:rPr>
          <w:b/>
        </w:rPr>
        <w:t>Crisis in leadership and finances</w:t>
      </w:r>
      <w:r>
        <w:rPr>
          <w:b/>
        </w:rPr>
        <w:br/>
      </w:r>
      <w:r>
        <w:t xml:space="preserve">Hezbollah is undergoing its </w:t>
      </w:r>
      <w:r>
        <w:rPr>
          <w:b/>
        </w:rPr>
        <w:t>deepest crisis in decades</w:t>
      </w:r>
      <w:r>
        <w:t xml:space="preserve">. Tiers 1–3 of leadership have been </w:t>
      </w:r>
      <w:r>
        <w:t>eliminated, leaving Tier 4 and lower to rise, but little is known about these figures.</w:t>
      </w:r>
      <w:r>
        <w:br/>
      </w:r>
    </w:p>
    <w:p w14:paraId="348BC62E" w14:textId="77777777" w:rsidR="00DF3F9E" w:rsidRDefault="00F10CC7" w:rsidP="00D05B6A">
      <w:pPr>
        <w:numPr>
          <w:ilvl w:val="0"/>
          <w:numId w:val="21"/>
        </w:numPr>
      </w:pPr>
      <w:r>
        <w:rPr>
          <w:b/>
        </w:rPr>
        <w:t>Budget profile</w:t>
      </w:r>
      <w:r>
        <w:rPr>
          <w:b/>
        </w:rPr>
        <w:br/>
      </w:r>
      <w:r>
        <w:t xml:space="preserve">The organization’s annual budget is estimated at </w:t>
      </w:r>
      <w:r>
        <w:rPr>
          <w:b/>
        </w:rPr>
        <w:t>$1.1–2 billion</w:t>
      </w:r>
      <w:r>
        <w:t xml:space="preserve">. Roughly </w:t>
      </w:r>
      <w:r>
        <w:rPr>
          <w:b/>
        </w:rPr>
        <w:t>50% comes from Iran</w:t>
      </w:r>
      <w:r>
        <w:t xml:space="preserve"> and </w:t>
      </w:r>
      <w:r>
        <w:rPr>
          <w:b/>
        </w:rPr>
        <w:t>50% from non-state sources</w:t>
      </w:r>
      <w:r>
        <w:t xml:space="preserve"> (criminal activity and Da’wa </w:t>
      </w:r>
      <w:r>
        <w:t>fundraising).</w:t>
      </w:r>
      <w:r>
        <w:br/>
      </w:r>
    </w:p>
    <w:p w14:paraId="713EB384" w14:textId="77777777" w:rsidR="00DF3F9E" w:rsidRDefault="00F10CC7" w:rsidP="00D05B6A">
      <w:pPr>
        <w:numPr>
          <w:ilvl w:val="0"/>
          <w:numId w:val="22"/>
        </w:numPr>
      </w:pPr>
      <w:r>
        <w:rPr>
          <w:b/>
        </w:rPr>
        <w:t>Iranian contribution:</w:t>
      </w:r>
      <w:r>
        <w:t xml:space="preserve"> Severely disrupted, but money still flows.</w:t>
      </w:r>
    </w:p>
    <w:p w14:paraId="0D79C2DF" w14:textId="77777777" w:rsidR="00DF3F9E" w:rsidRDefault="00F10CC7" w:rsidP="00D05B6A">
      <w:pPr>
        <w:numPr>
          <w:ilvl w:val="0"/>
          <w:numId w:val="22"/>
        </w:numPr>
      </w:pPr>
      <w:r>
        <w:rPr>
          <w:b/>
        </w:rPr>
        <w:t>Non-state contribution:</w:t>
      </w:r>
      <w:r>
        <w:t xml:space="preserve"> Largely unaffected and expected to </w:t>
      </w:r>
      <w:r>
        <w:rPr>
          <w:b/>
        </w:rPr>
        <w:t>grow</w:t>
      </w:r>
      <w:r>
        <w:t>, given weak global political will and increased public sympathy in some constituencies.</w:t>
      </w:r>
      <w:r>
        <w:br/>
      </w:r>
    </w:p>
    <w:p w14:paraId="1335987E" w14:textId="1116610F" w:rsidR="00DF3F9E" w:rsidRDefault="00F10CC7" w:rsidP="00D05B6A">
      <w:pPr>
        <w:numPr>
          <w:ilvl w:val="0"/>
          <w:numId w:val="23"/>
        </w:numPr>
      </w:pPr>
      <w:r>
        <w:rPr>
          <w:b/>
        </w:rPr>
        <w:t>Weaknesses in financial</w:t>
      </w:r>
      <w:r>
        <w:rPr>
          <w:b/>
        </w:rPr>
        <w:t xml:space="preserve"> monitoring</w:t>
      </w:r>
      <w:r>
        <w:rPr>
          <w:b/>
        </w:rPr>
        <w:br/>
      </w:r>
      <w:r>
        <w:t xml:space="preserve">Financial institutions continue to use </w:t>
      </w:r>
      <w:r>
        <w:rPr>
          <w:b/>
        </w:rPr>
        <w:t>Western compliance standards</w:t>
      </w:r>
      <w:r>
        <w:t xml:space="preserve"> that miss the reality of Hezbollah’s clan-based networks. Failures include:</w:t>
      </w:r>
      <w:r>
        <w:br/>
      </w:r>
    </w:p>
    <w:p w14:paraId="0A27C516" w14:textId="77777777" w:rsidR="00DF3F9E" w:rsidRDefault="00F10CC7" w:rsidP="00D05B6A">
      <w:pPr>
        <w:numPr>
          <w:ilvl w:val="0"/>
          <w:numId w:val="25"/>
        </w:numPr>
      </w:pPr>
      <w:r>
        <w:t>Not screening names in their original languages.</w:t>
      </w:r>
      <w:r>
        <w:br/>
        <w:t xml:space="preserve">Not widening the circle of scrutiny to family and </w:t>
      </w:r>
      <w:r>
        <w:t>clan ties.</w:t>
      </w:r>
    </w:p>
    <w:p w14:paraId="32C09005" w14:textId="77777777" w:rsidR="00DF3F9E" w:rsidRDefault="00F10CC7" w:rsidP="00D05B6A">
      <w:pPr>
        <w:numPr>
          <w:ilvl w:val="0"/>
          <w:numId w:val="25"/>
        </w:numPr>
      </w:pPr>
      <w:r>
        <w:t>As a result, facilitators often remain undetected and not even flagged as “high risk.”</w:t>
      </w:r>
      <w:r>
        <w:br/>
      </w:r>
    </w:p>
    <w:p w14:paraId="2061DE0B" w14:textId="77777777" w:rsidR="00DF3F9E" w:rsidRDefault="00F10CC7" w:rsidP="00D05B6A">
      <w:pPr>
        <w:numPr>
          <w:ilvl w:val="0"/>
          <w:numId w:val="26"/>
        </w:numPr>
      </w:pPr>
      <w:r>
        <w:rPr>
          <w:b/>
        </w:rPr>
        <w:t>Shift to new infrastructure</w:t>
      </w:r>
      <w:r>
        <w:rPr>
          <w:b/>
        </w:rPr>
        <w:br/>
      </w:r>
      <w:r>
        <w:t xml:space="preserve">With </w:t>
      </w:r>
      <w:r>
        <w:rPr>
          <w:b/>
        </w:rPr>
        <w:t>Al-</w:t>
      </w:r>
      <w:proofErr w:type="spellStart"/>
      <w:r>
        <w:rPr>
          <w:b/>
        </w:rPr>
        <w:t>Qard</w:t>
      </w:r>
      <w:proofErr w:type="spellEnd"/>
      <w:r>
        <w:rPr>
          <w:b/>
        </w:rPr>
        <w:t xml:space="preserve"> Al-Hassan dismantled</w:t>
      </w:r>
      <w:r>
        <w:t xml:space="preserve">, Hezbollah </w:t>
      </w:r>
      <w:proofErr w:type="gramStart"/>
      <w:r>
        <w:t>has the opportunity to</w:t>
      </w:r>
      <w:proofErr w:type="gramEnd"/>
      <w:r>
        <w:t xml:space="preserve"> rebuild its financial architecture using </w:t>
      </w:r>
      <w:r>
        <w:rPr>
          <w:b/>
        </w:rPr>
        <w:t>digital banking, fin</w:t>
      </w:r>
      <w:r>
        <w:rPr>
          <w:b/>
        </w:rPr>
        <w:t>tech, and crypto</w:t>
      </w:r>
      <w:r>
        <w:t>, potentially making future networks more agile and opaque.</w:t>
      </w:r>
      <w:r>
        <w:br/>
      </w:r>
    </w:p>
    <w:p w14:paraId="659017BF" w14:textId="77777777" w:rsidR="00DF3F9E" w:rsidRDefault="00F10CC7" w:rsidP="00D05B6A">
      <w:pPr>
        <w:numPr>
          <w:ilvl w:val="0"/>
          <w:numId w:val="26"/>
        </w:numPr>
        <w:spacing w:after="240"/>
      </w:pPr>
      <w:r>
        <w:rPr>
          <w:b/>
        </w:rPr>
        <w:t>Policy takeaway</w:t>
      </w:r>
      <w:r>
        <w:rPr>
          <w:b/>
        </w:rPr>
        <w:br/>
      </w:r>
      <w:r>
        <w:t xml:space="preserve">Effective disruption campaigns against Hezbollah and its sponsors (Iran, Russia, and others) must be </w:t>
      </w:r>
      <w:r>
        <w:rPr>
          <w:b/>
        </w:rPr>
        <w:t>multinational, data-driven, and comprehensive</w:t>
      </w:r>
      <w:r>
        <w:t>. Any loophole in</w:t>
      </w:r>
      <w:r>
        <w:t xml:space="preserve"> sanctions, regulatory coverage, or enforcement risks undermining the entire effort.</w:t>
      </w:r>
    </w:p>
    <w:p w14:paraId="63EBECBA" w14:textId="77777777" w:rsidR="00DF3F9E" w:rsidRDefault="00F10CC7">
      <w:pPr>
        <w:pStyle w:val="Heading3"/>
        <w:keepNext w:val="0"/>
        <w:keepLines w:val="0"/>
      </w:pPr>
      <w:bookmarkStart w:id="31" w:name="_x1lr48sbacrp" w:colFirst="0" w:colLast="0"/>
      <w:bookmarkEnd w:id="31"/>
      <w:r>
        <w:t>Dr. Emanuele Ottolenghi</w:t>
      </w:r>
    </w:p>
    <w:p w14:paraId="6CE57C73" w14:textId="77777777" w:rsidR="00DF3F9E" w:rsidRDefault="00F10CC7">
      <w:pPr>
        <w:spacing w:before="240" w:after="240"/>
        <w:rPr>
          <w:b/>
        </w:rPr>
      </w:pPr>
      <w:r>
        <w:rPr>
          <w:b/>
        </w:rPr>
        <w:t>Persistence of Illicit Trade Routes &amp; the Need for Targeted Pressure</w:t>
      </w:r>
    </w:p>
    <w:p w14:paraId="3AE442A9" w14:textId="77777777" w:rsidR="00DF3F9E" w:rsidRDefault="00F10CC7">
      <w:pPr>
        <w:spacing w:before="240" w:after="240"/>
        <w:rPr>
          <w:b/>
        </w:rPr>
      </w:pPr>
      <w:r>
        <w:rPr>
          <w:b/>
        </w:rPr>
        <w:t>Key points</w:t>
      </w:r>
    </w:p>
    <w:p w14:paraId="61DE2309" w14:textId="77777777" w:rsidR="00DF3F9E" w:rsidRDefault="00F10CC7" w:rsidP="00D05B6A">
      <w:pPr>
        <w:numPr>
          <w:ilvl w:val="0"/>
          <w:numId w:val="27"/>
        </w:numPr>
        <w:spacing w:before="240"/>
      </w:pPr>
      <w:r>
        <w:t xml:space="preserve">Illicit financing mechanisms and established trade routes are </w:t>
      </w:r>
      <w:r>
        <w:rPr>
          <w:b/>
        </w:rPr>
        <w:t>self-sustaining</w:t>
      </w:r>
      <w:r>
        <w:t xml:space="preserve">: if cocaine trafficking and money-laundering remain profitable, actors will continue to rely on them. </w:t>
      </w:r>
      <w:r>
        <w:lastRenderedPageBreak/>
        <w:t xml:space="preserve">Disruption must therefore target both the mechanisms and the logistics that </w:t>
      </w:r>
      <w:r>
        <w:t>sustain them.</w:t>
      </w:r>
      <w:r>
        <w:br/>
      </w:r>
    </w:p>
    <w:p w14:paraId="21F301B7" w14:textId="77777777" w:rsidR="00DF3F9E" w:rsidRDefault="00F10CC7" w:rsidP="00D05B6A">
      <w:pPr>
        <w:numPr>
          <w:ilvl w:val="0"/>
          <w:numId w:val="27"/>
        </w:numPr>
      </w:pPr>
      <w:r>
        <w:t xml:space="preserve">Authorities should </w:t>
      </w:r>
      <w:r>
        <w:rPr>
          <w:b/>
        </w:rPr>
        <w:t>use tools that have worked elsewhere</w:t>
      </w:r>
      <w:r>
        <w:t>, even if they have not been applied historically in this context. For example, in 2022, diverting and denying refueling to an Iranian aircraft forced it to jettison cargo was a tactical</w:t>
      </w:r>
      <w:r>
        <w:t xml:space="preserve"> intervention that leveraged operational pressure rather than relying solely on sanctions.</w:t>
      </w:r>
      <w:r>
        <w:br/>
      </w:r>
    </w:p>
    <w:p w14:paraId="02957D1C" w14:textId="77777777" w:rsidR="00DF3F9E" w:rsidRDefault="00F10CC7" w:rsidP="00D05B6A">
      <w:pPr>
        <w:numPr>
          <w:ilvl w:val="0"/>
          <w:numId w:val="27"/>
        </w:numPr>
      </w:pPr>
      <w:r>
        <w:t xml:space="preserve">Current sanctioning strategies are </w:t>
      </w:r>
      <w:r>
        <w:rPr>
          <w:b/>
        </w:rPr>
        <w:t>insufficiently comprehensive</w:t>
      </w:r>
      <w:r>
        <w:t xml:space="preserve">. It is not enough to sanction low-level smugglers; enforcement should extend to </w:t>
      </w:r>
      <w:r>
        <w:rPr>
          <w:b/>
        </w:rPr>
        <w:t>port operators, comm</w:t>
      </w:r>
      <w:r>
        <w:rPr>
          <w:b/>
        </w:rPr>
        <w:t>ercial enablers, and complicit officials</w:t>
      </w:r>
      <w:r>
        <w:t xml:space="preserve"> who facilitate </w:t>
      </w:r>
      <w:proofErr w:type="gramStart"/>
      <w:r>
        <w:t>illegal  trade</w:t>
      </w:r>
      <w:proofErr w:type="gramEnd"/>
      <w:r>
        <w:t>.</w:t>
      </w:r>
      <w:r>
        <w:br/>
      </w:r>
    </w:p>
    <w:p w14:paraId="3BED546B" w14:textId="77777777" w:rsidR="00DF3F9E" w:rsidRDefault="00F10CC7" w:rsidP="00D05B6A">
      <w:pPr>
        <w:numPr>
          <w:ilvl w:val="0"/>
          <w:numId w:val="27"/>
        </w:numPr>
        <w:spacing w:after="240"/>
      </w:pPr>
      <w:r>
        <w:t>Sentencing and deterrence are weak. Punishments are often too lenient or delayed (one case cited where an operative’s sentence was effectively served prior to conviction), undermining</w:t>
      </w:r>
      <w:r>
        <w:t xml:space="preserve"> deterrence and public confidence.</w:t>
      </w:r>
      <w:r>
        <w:br/>
      </w:r>
    </w:p>
    <w:p w14:paraId="1ACC5E06" w14:textId="77777777" w:rsidR="00DF3F9E" w:rsidRDefault="00F10CC7">
      <w:pPr>
        <w:spacing w:before="240" w:after="240"/>
        <w:jc w:val="both"/>
      </w:pPr>
      <w:r>
        <w:rPr>
          <w:b/>
        </w:rPr>
        <w:t>Implications</w:t>
      </w:r>
      <w:r>
        <w:rPr>
          <w:b/>
        </w:rPr>
        <w:br/>
      </w:r>
      <w:r>
        <w:t>Tactical and strategic pressure must be broadened: combine targeted operational measures (e.g., interdiction, logistical denial) with a more expansive sanctions and accountability regime that reaches the com</w:t>
      </w:r>
      <w:r>
        <w:t xml:space="preserve">mercial and political enablers of illicit trade. Legal reform to ensure timely and meaningful sentences is also necessary to deter participation in these networks. CENTEF’s role is to document effective tactics and advocate for policy approaches that pair </w:t>
      </w:r>
      <w:r>
        <w:t>operational interdiction with systemic sanctions and accountability.</w:t>
      </w:r>
    </w:p>
    <w:p w14:paraId="2D3FCBCC" w14:textId="77777777" w:rsidR="00DF3F9E" w:rsidRDefault="00F10CC7">
      <w:pPr>
        <w:pStyle w:val="Heading3"/>
        <w:keepNext w:val="0"/>
        <w:keepLines w:val="0"/>
      </w:pPr>
      <w:bookmarkStart w:id="32" w:name="_3ilsp0p76yz" w:colFirst="0" w:colLast="0"/>
      <w:bookmarkEnd w:id="32"/>
      <w:r>
        <w:t>Dr. Eitan Azani &amp; Other Participant Remarks</w:t>
      </w:r>
    </w:p>
    <w:p w14:paraId="037A0CC2" w14:textId="77777777" w:rsidR="00DF3F9E" w:rsidRDefault="00F10CC7">
      <w:pPr>
        <w:spacing w:before="240" w:after="240"/>
        <w:rPr>
          <w:b/>
        </w:rPr>
      </w:pPr>
      <w:r>
        <w:rPr>
          <w:b/>
        </w:rPr>
        <w:t>Priority, Collaboration, and Operational Focus</w:t>
      </w:r>
    </w:p>
    <w:p w14:paraId="7C481210" w14:textId="77777777" w:rsidR="00DF3F9E" w:rsidRDefault="00F10CC7">
      <w:pPr>
        <w:spacing w:before="240" w:after="240"/>
        <w:rPr>
          <w:b/>
        </w:rPr>
      </w:pPr>
      <w:r>
        <w:rPr>
          <w:b/>
        </w:rPr>
        <w:t>Key points</w:t>
      </w:r>
    </w:p>
    <w:p w14:paraId="73E9FABA" w14:textId="77777777" w:rsidR="00DF3F9E" w:rsidRDefault="00F10CC7" w:rsidP="00D05B6A">
      <w:pPr>
        <w:numPr>
          <w:ilvl w:val="0"/>
          <w:numId w:val="28"/>
        </w:numPr>
        <w:spacing w:before="240"/>
      </w:pPr>
      <w:r>
        <w:rPr>
          <w:b/>
        </w:rPr>
        <w:t>Prioritize and pressure a concrete channel:</w:t>
      </w:r>
      <w:r>
        <w:t xml:space="preserve"> The most effective approach is to select </w:t>
      </w:r>
      <w:r>
        <w:t>a single priority channel (Azani: “against Iran”) and apply sustained, relentless pressure rather than diffuse efforts.</w:t>
      </w:r>
      <w:r>
        <w:br/>
      </w:r>
    </w:p>
    <w:p w14:paraId="7244A8C7" w14:textId="77777777" w:rsidR="00DF3F9E" w:rsidRDefault="00F10CC7" w:rsidP="00D05B6A">
      <w:pPr>
        <w:numPr>
          <w:ilvl w:val="0"/>
          <w:numId w:val="28"/>
        </w:numPr>
      </w:pPr>
      <w:r>
        <w:rPr>
          <w:b/>
        </w:rPr>
        <w:t>Monitor Hezbollah’s rebuild:</w:t>
      </w:r>
      <w:r>
        <w:t xml:space="preserve"> It is essential to track how Hezbollah reconstructs its financial infrastructure and to identify which int</w:t>
      </w:r>
      <w:r>
        <w:t>ernal unit assumes responsibility for those activities.</w:t>
      </w:r>
      <w:r>
        <w:br/>
      </w:r>
    </w:p>
    <w:p w14:paraId="4F0BDA32" w14:textId="77777777" w:rsidR="00DF3F9E" w:rsidRDefault="00F10CC7" w:rsidP="00D05B6A">
      <w:pPr>
        <w:numPr>
          <w:ilvl w:val="0"/>
          <w:numId w:val="28"/>
        </w:numPr>
      </w:pPr>
      <w:r>
        <w:rPr>
          <w:b/>
        </w:rPr>
        <w:t>Multidisciplinary, strategic collaboration:</w:t>
      </w:r>
      <w:r>
        <w:t xml:space="preserve"> Counter-financing of terror (CFT) must be designed as a multidisciplinary, multifaceted, and collaborative effort — aligning regulators, intelligence, law </w:t>
      </w:r>
      <w:r>
        <w:t>enforcement, financial industry, and technologists.</w:t>
      </w:r>
      <w:r>
        <w:br/>
      </w:r>
    </w:p>
    <w:p w14:paraId="14BE8C67" w14:textId="77777777" w:rsidR="00DF3F9E" w:rsidRDefault="00F10CC7" w:rsidP="00D05B6A">
      <w:pPr>
        <w:numPr>
          <w:ilvl w:val="0"/>
          <w:numId w:val="28"/>
        </w:numPr>
      </w:pPr>
      <w:r>
        <w:rPr>
          <w:b/>
        </w:rPr>
        <w:t>Regulatory clarity and implementation:</w:t>
      </w:r>
      <w:r>
        <w:t xml:space="preserve"> Clearer, stronger regulation is required, but participants acknowledged that passing and enforcing rules can be difficult; practical pathways to implementation are </w:t>
      </w:r>
      <w:r>
        <w:t>needed.</w:t>
      </w:r>
      <w:r>
        <w:br/>
      </w:r>
    </w:p>
    <w:p w14:paraId="6D1D15E5" w14:textId="77777777" w:rsidR="00DF3F9E" w:rsidRDefault="00F10CC7" w:rsidP="00D05B6A">
      <w:pPr>
        <w:numPr>
          <w:ilvl w:val="0"/>
          <w:numId w:val="28"/>
        </w:numPr>
      </w:pPr>
      <w:r>
        <w:rPr>
          <w:b/>
        </w:rPr>
        <w:lastRenderedPageBreak/>
        <w:t>Expose and deter via reputational pressure:</w:t>
      </w:r>
      <w:r>
        <w:t xml:space="preserve"> Public exposure of enablers (commercial, philanthropic, and financial) creates reputational risks that can prompt private-sector divestment and reduce permissive environments.</w:t>
      </w:r>
      <w:r>
        <w:br/>
      </w:r>
    </w:p>
    <w:p w14:paraId="0FDDE12A" w14:textId="77777777" w:rsidR="00DF3F9E" w:rsidRDefault="00F10CC7" w:rsidP="00D05B6A">
      <w:pPr>
        <w:numPr>
          <w:ilvl w:val="0"/>
          <w:numId w:val="28"/>
        </w:numPr>
      </w:pPr>
      <w:r>
        <w:rPr>
          <w:b/>
        </w:rPr>
        <w:t xml:space="preserve">Lower technical </w:t>
      </w:r>
      <w:r>
        <w:rPr>
          <w:b/>
        </w:rPr>
        <w:t>barriers for intelligence use of financial data:</w:t>
      </w:r>
      <w:r>
        <w:t xml:space="preserve"> Participants called for easier mechanisms and tools to enable intelligence officers to analyze and act on financial data.</w:t>
      </w:r>
      <w:r>
        <w:br/>
      </w:r>
    </w:p>
    <w:p w14:paraId="4E13BC2F" w14:textId="77777777" w:rsidR="00DF3F9E" w:rsidRDefault="00F10CC7" w:rsidP="00D05B6A">
      <w:pPr>
        <w:numPr>
          <w:ilvl w:val="0"/>
          <w:numId w:val="28"/>
        </w:numPr>
      </w:pPr>
      <w:r>
        <w:rPr>
          <w:b/>
        </w:rPr>
        <w:t>Sustain focus on the crime–terror nexus across platforms:</w:t>
      </w:r>
      <w:r>
        <w:t xml:space="preserve"> Emphasis on continuing to </w:t>
      </w:r>
      <w:r>
        <w:t>highlight and investigate the intersection of criminal networks and terror financing across payment rails, platforms, and currencies.</w:t>
      </w:r>
      <w:r>
        <w:br/>
      </w:r>
    </w:p>
    <w:p w14:paraId="66272C31" w14:textId="77777777" w:rsidR="00DF3F9E" w:rsidRDefault="00F10CC7" w:rsidP="00D05B6A">
      <w:pPr>
        <w:numPr>
          <w:ilvl w:val="0"/>
          <w:numId w:val="28"/>
        </w:numPr>
        <w:spacing w:after="240"/>
      </w:pPr>
      <w:r>
        <w:rPr>
          <w:b/>
        </w:rPr>
        <w:t>Anticipate reconstruction flows:</w:t>
      </w:r>
      <w:r>
        <w:t xml:space="preserve"> With large reconstruction funds expected for Gaza, CENTEF and partners should proactivel</w:t>
      </w:r>
      <w:r>
        <w:t>y publish best-practice guidance to reduce exploitation of rebuilding finance.</w:t>
      </w:r>
      <w:r>
        <w:br/>
      </w:r>
    </w:p>
    <w:p w14:paraId="07D73AD5" w14:textId="77777777" w:rsidR="00DF3F9E" w:rsidRDefault="00F10CC7">
      <w:pPr>
        <w:spacing w:before="240" w:after="240"/>
        <w:jc w:val="both"/>
      </w:pPr>
      <w:r>
        <w:rPr>
          <w:b/>
        </w:rPr>
        <w:t>Implications</w:t>
      </w:r>
      <w:r>
        <w:rPr>
          <w:b/>
        </w:rPr>
        <w:br/>
      </w:r>
      <w:r>
        <w:t>The roundtable stressed that tactical selectivity, sustained pressure, and cross-sector coordination are essential to make disruption stick. Prioritizing a clear t</w:t>
      </w:r>
      <w:r>
        <w:t>arget area (e.g., channels tied to state sponsors) enables concentrated legal, financial, and operational measures. Transparency and reputational strategies complement regulation by inducing private-sector action where legal tools lag.</w:t>
      </w:r>
    </w:p>
    <w:p w14:paraId="66F8A77D" w14:textId="77777777" w:rsidR="00DF3F9E" w:rsidRDefault="00F10CC7">
      <w:pPr>
        <w:spacing w:before="240" w:after="240"/>
        <w:rPr>
          <w:b/>
        </w:rPr>
      </w:pPr>
      <w:r>
        <w:rPr>
          <w:b/>
        </w:rPr>
        <w:t>Recommended next ste</w:t>
      </w:r>
      <w:r>
        <w:rPr>
          <w:b/>
        </w:rPr>
        <w:t>ps</w:t>
      </w:r>
    </w:p>
    <w:p w14:paraId="6C3E4365" w14:textId="77777777" w:rsidR="00DF3F9E" w:rsidRDefault="00F10CC7">
      <w:pPr>
        <w:numPr>
          <w:ilvl w:val="0"/>
          <w:numId w:val="14"/>
        </w:numPr>
        <w:spacing w:before="240"/>
      </w:pPr>
      <w:r>
        <w:t xml:space="preserve">Develop a short briefing on </w:t>
      </w:r>
      <w:r>
        <w:rPr>
          <w:b/>
        </w:rPr>
        <w:t>how Hezbollah could rebuild</w:t>
      </w:r>
      <w:r>
        <w:t xml:space="preserve"> its finance functions (units, tools, likely channels) to inform enforcement priorities.</w:t>
      </w:r>
      <w:r>
        <w:br/>
      </w:r>
    </w:p>
    <w:p w14:paraId="2BAC637E" w14:textId="77777777" w:rsidR="00DF3F9E" w:rsidRDefault="00F10CC7">
      <w:pPr>
        <w:numPr>
          <w:ilvl w:val="0"/>
          <w:numId w:val="14"/>
        </w:numPr>
      </w:pPr>
      <w:r>
        <w:t xml:space="preserve">Produce a guidance note on </w:t>
      </w:r>
      <w:r>
        <w:rPr>
          <w:b/>
        </w:rPr>
        <w:t>reputational exposure</w:t>
      </w:r>
      <w:r>
        <w:t xml:space="preserve"> (criteria for public naming, evidence standards, communication strategy) to support coordinated private-sector divestment.</w:t>
      </w:r>
      <w:r>
        <w:br/>
      </w:r>
    </w:p>
    <w:p w14:paraId="0F719E89" w14:textId="77777777" w:rsidR="00DF3F9E" w:rsidRDefault="00F10CC7">
      <w:pPr>
        <w:numPr>
          <w:ilvl w:val="0"/>
          <w:numId w:val="14"/>
        </w:numPr>
      </w:pPr>
      <w:r>
        <w:t xml:space="preserve">Pilot tools or workflows that </w:t>
      </w:r>
      <w:r>
        <w:rPr>
          <w:b/>
        </w:rPr>
        <w:t>lower the analytic bar</w:t>
      </w:r>
      <w:r>
        <w:t xml:space="preserve"> for intelligence units to work with financial datasets (pre-packaged queries, </w:t>
      </w:r>
      <w:r>
        <w:t>analyst training modules).</w:t>
      </w:r>
      <w:r>
        <w:br/>
      </w:r>
    </w:p>
    <w:p w14:paraId="14DBA55F" w14:textId="77777777" w:rsidR="00DF3F9E" w:rsidRDefault="00F10CC7">
      <w:pPr>
        <w:numPr>
          <w:ilvl w:val="0"/>
          <w:numId w:val="14"/>
        </w:numPr>
        <w:spacing w:after="240"/>
      </w:pPr>
      <w:r>
        <w:t>Advocate for a focused multinational initiative that pairs sustained pressure on a selected channel with synchronized regulatory/back-end actions across major jurisdictions.</w:t>
      </w:r>
      <w:r>
        <w:br/>
      </w:r>
    </w:p>
    <w:p w14:paraId="4963D872" w14:textId="77777777" w:rsidR="00DF3F9E" w:rsidRDefault="00F10CC7">
      <w:pPr>
        <w:spacing w:before="240" w:after="240"/>
      </w:pPr>
      <w:r>
        <w:t xml:space="preserve">(As with other sections, CENTEF’s contribution is to </w:t>
      </w:r>
      <w:r>
        <w:t>research, document, and translate these priorities into actionable briefs and convenings for policymakers, industry, and enforcement.)</w:t>
      </w:r>
    </w:p>
    <w:p w14:paraId="16736A54" w14:textId="77777777" w:rsidR="00DF3F9E" w:rsidRDefault="00F10CC7">
      <w:pPr>
        <w:spacing w:before="240" w:after="240"/>
      </w:pPr>
      <w:r>
        <w:rPr>
          <w:noProof/>
        </w:rPr>
        <w:pict w14:anchorId="4690CAF2">
          <v:rect id="_x0000_i1025" alt="" style="width:468pt;height:.05pt;mso-width-percent:0;mso-height-percent:0;mso-width-percent:0;mso-height-percent:0" o:hralign="center" o:hrstd="t" o:hr="t" fillcolor="#a0a0a0" stroked="f"/>
        </w:pict>
      </w:r>
    </w:p>
    <w:p w14:paraId="64C2D4FB" w14:textId="15B9E44E" w:rsidR="00DF3F9E" w:rsidRDefault="00847BD5">
      <w:pPr>
        <w:pStyle w:val="Heading2"/>
        <w:keepNext w:val="0"/>
        <w:keepLines w:val="0"/>
        <w:spacing w:after="80" w:line="276" w:lineRule="auto"/>
        <w:ind w:left="0" w:firstLine="0"/>
        <w:rPr>
          <w:sz w:val="34"/>
          <w:szCs w:val="34"/>
        </w:rPr>
      </w:pPr>
      <w:bookmarkStart w:id="33" w:name="_ze7k8ni0s592" w:colFirst="0" w:colLast="0"/>
      <w:bookmarkEnd w:id="33"/>
      <w:r>
        <w:rPr>
          <w:sz w:val="34"/>
          <w:szCs w:val="34"/>
        </w:rPr>
        <w:lastRenderedPageBreak/>
        <w:t>Achievements</w:t>
      </w:r>
    </w:p>
    <w:p w14:paraId="1CE4E030" w14:textId="20062389" w:rsidR="00DF3F9E" w:rsidRDefault="008155C6" w:rsidP="008155C6">
      <w:pPr>
        <w:numPr>
          <w:ilvl w:val="0"/>
          <w:numId w:val="36"/>
        </w:numPr>
        <w:spacing w:before="240"/>
      </w:pPr>
      <w:bookmarkStart w:id="34" w:name="_pe4g8fl63kwe" w:colFirst="0" w:colLast="0"/>
      <w:bookmarkEnd w:id="34"/>
      <w:r>
        <w:t>The workshop positioned</w:t>
      </w:r>
      <w:r>
        <w:rPr>
          <w:b/>
        </w:rPr>
        <w:t xml:space="preserve"> CENTEF</w:t>
      </w:r>
      <w:r>
        <w:t xml:space="preserve"> as a global hub for experts, policymakers, and the wider public engaged in counter terror financing.</w:t>
      </w:r>
      <w:r>
        <w:br/>
      </w:r>
    </w:p>
    <w:p w14:paraId="13793FE5" w14:textId="77777777" w:rsidR="00DF3F9E" w:rsidRDefault="00F10CC7" w:rsidP="008155C6">
      <w:pPr>
        <w:numPr>
          <w:ilvl w:val="0"/>
          <w:numId w:val="36"/>
        </w:numPr>
      </w:pPr>
      <w:r>
        <w:t xml:space="preserve">Built </w:t>
      </w:r>
      <w:r>
        <w:rPr>
          <w:b/>
        </w:rPr>
        <w:t>new connections</w:t>
      </w:r>
      <w:r>
        <w:t xml:space="preserve"> with regulators, researchers, and industry practitioners, expanding CENTEF’s international network.</w:t>
      </w:r>
      <w:r>
        <w:br/>
      </w:r>
    </w:p>
    <w:p w14:paraId="2D94FF59" w14:textId="77777777" w:rsidR="00DF3F9E" w:rsidRDefault="00F10CC7" w:rsidP="008155C6">
      <w:pPr>
        <w:numPr>
          <w:ilvl w:val="0"/>
          <w:numId w:val="36"/>
        </w:numPr>
        <w:spacing w:after="240"/>
      </w:pPr>
      <w:r>
        <w:rPr>
          <w:b/>
        </w:rPr>
        <w:t>Elevated terror financing to the top of the agenda</w:t>
      </w:r>
      <w:r>
        <w:t xml:space="preserve"> at one of the world’s leading counter-terrorism confere</w:t>
      </w:r>
      <w:r>
        <w:t>nces, attended by more than 1,000 participants from around the globe.</w:t>
      </w:r>
      <w:r>
        <w:br/>
      </w:r>
    </w:p>
    <w:p w14:paraId="6C0E2C93" w14:textId="77777777" w:rsidR="00DF3F9E" w:rsidRDefault="00F10CC7" w:rsidP="004B3147">
      <w:pPr>
        <w:spacing w:before="240"/>
        <w:jc w:val="center"/>
      </w:pPr>
      <w:bookmarkStart w:id="35" w:name="_kogspx8gr4m2" w:colFirst="0" w:colLast="0"/>
      <w:bookmarkEnd w:id="35"/>
      <w:r>
        <w:rPr>
          <w:noProof/>
        </w:rPr>
        <w:drawing>
          <wp:inline distT="114300" distB="114300" distL="114300" distR="114300" wp14:anchorId="3BC67F3B" wp14:editId="05C12579">
            <wp:extent cx="5975350" cy="4305300"/>
            <wp:effectExtent l="0" t="0" r="635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75786" cy="4305614"/>
                    </a:xfrm>
                    <a:prstGeom prst="rect">
                      <a:avLst/>
                    </a:prstGeom>
                    <a:ln/>
                  </pic:spPr>
                </pic:pic>
              </a:graphicData>
            </a:graphic>
          </wp:inline>
        </w:drawing>
      </w:r>
    </w:p>
    <w:p w14:paraId="4D6C3559" w14:textId="57FB005B" w:rsidR="004B3147" w:rsidRDefault="006468E9" w:rsidP="00A96AB3">
      <w:pPr>
        <w:jc w:val="both"/>
      </w:pPr>
      <w:r>
        <w:rPr>
          <w:sz w:val="18"/>
          <w:szCs w:val="18"/>
        </w:rPr>
        <w:t xml:space="preserve">Right to left: </w:t>
      </w:r>
      <w:r w:rsidR="004B3147" w:rsidRPr="00C75E6F">
        <w:rPr>
          <w:sz w:val="18"/>
          <w:szCs w:val="18"/>
        </w:rPr>
        <w:t>Michael (Mikey) Gallant, Roy Agagny, Sharon Gal</w:t>
      </w:r>
    </w:p>
    <w:sectPr w:rsidR="004B314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67822" w14:textId="77777777" w:rsidR="00F10CC7" w:rsidRDefault="00F10CC7">
      <w:pPr>
        <w:spacing w:line="240" w:lineRule="auto"/>
      </w:pPr>
      <w:r>
        <w:separator/>
      </w:r>
    </w:p>
  </w:endnote>
  <w:endnote w:type="continuationSeparator" w:id="0">
    <w:p w14:paraId="110B6C87" w14:textId="77777777" w:rsidR="00F10CC7" w:rsidRDefault="00F10C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51878" w14:textId="77777777" w:rsidR="00A14E85" w:rsidRDefault="00A14E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9D65C" w14:textId="77777777" w:rsidR="00DF3F9E" w:rsidRDefault="00F10CC7">
    <w:pPr>
      <w:jc w:val="center"/>
    </w:pPr>
    <w:r>
      <w:fldChar w:fldCharType="begin"/>
    </w:r>
    <w:r>
      <w:instrText>PAGE</w:instrText>
    </w:r>
    <w:r>
      <w:fldChar w:fldCharType="separate"/>
    </w:r>
    <w:r w:rsidR="00B81ADF">
      <w:rPr>
        <w:noProof/>
      </w:rPr>
      <w:t>2</w:t>
    </w:r>
    <w:r>
      <w:fldChar w:fldCharType="end"/>
    </w:r>
  </w:p>
  <w:p w14:paraId="56F14B02" w14:textId="77777777" w:rsidR="00DF3F9E" w:rsidRDefault="00DF3F9E">
    <w:pPr>
      <w:jc w:val="right"/>
      <w:rPr>
        <w:sz w:val="16"/>
        <w:szCs w:val="16"/>
      </w:rPr>
    </w:pPr>
  </w:p>
  <w:p w14:paraId="01D75F6D" w14:textId="77777777" w:rsidR="00DF3F9E" w:rsidRDefault="00F10CC7">
    <w:pPr>
      <w:jc w:val="center"/>
      <w:rPr>
        <w:i/>
        <w:sz w:val="18"/>
        <w:szCs w:val="18"/>
      </w:rPr>
    </w:pPr>
    <w:r>
      <w:rPr>
        <w:i/>
        <w:sz w:val="14"/>
        <w:szCs w:val="14"/>
      </w:rPr>
      <w:t xml:space="preserve">All rights reserved to CENTEF. No copying, distribution, or reproduction is allowed </w:t>
    </w:r>
    <w:r>
      <w:rPr>
        <w:i/>
        <w:sz w:val="14"/>
        <w:szCs w:val="14"/>
      </w:rPr>
      <w:t>without prior written permission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90D1E" w14:textId="2D1C47AD" w:rsidR="00DF3F9E" w:rsidRPr="001113BD" w:rsidRDefault="00F10CC7">
    <w:pPr>
      <w:pStyle w:val="Title"/>
      <w:spacing w:after="0" w:line="240" w:lineRule="auto"/>
      <w:rPr>
        <w:b/>
        <w:iCs/>
        <w:sz w:val="20"/>
        <w:szCs w:val="20"/>
      </w:rPr>
    </w:pPr>
    <w:r w:rsidRPr="001113BD">
      <w:rPr>
        <w:b/>
        <w:iCs/>
        <w:sz w:val="20"/>
        <w:szCs w:val="20"/>
      </w:rPr>
      <w:t>Disclaimer Notice</w:t>
    </w:r>
  </w:p>
  <w:p w14:paraId="2799065A" w14:textId="77777777" w:rsidR="00DF3F9E" w:rsidRPr="001113BD" w:rsidRDefault="00F10CC7">
    <w:pPr>
      <w:pStyle w:val="Title"/>
      <w:spacing w:after="0" w:line="240" w:lineRule="auto"/>
      <w:jc w:val="both"/>
      <w:rPr>
        <w:iCs/>
        <w:sz w:val="20"/>
        <w:szCs w:val="20"/>
      </w:rPr>
    </w:pPr>
    <w:bookmarkStart w:id="36" w:name="_5rwvhoygulgk" w:colFirst="0" w:colLast="0"/>
    <w:bookmarkEnd w:id="36"/>
    <w:r w:rsidRPr="001113BD">
      <w:rPr>
        <w:iCs/>
        <w:sz w:val="20"/>
        <w:szCs w:val="20"/>
      </w:rPr>
      <w:t>The information contained within this document, including all intellectual property, proprietary data, and trade secrets, is the exclusive property of CENTEF. It is provided solely for r</w:t>
    </w:r>
    <w:r w:rsidRPr="001113BD">
      <w:rPr>
        <w:iCs/>
        <w:sz w:val="20"/>
        <w:szCs w:val="20"/>
      </w:rPr>
      <w:t>eview by the recipient and must not be shared, disclosed, copied, reproduced, or distributed—in whole or in part—without prior written consent from CENTEF.</w:t>
    </w:r>
  </w:p>
  <w:p w14:paraId="349564FE" w14:textId="77777777" w:rsidR="00DF3F9E" w:rsidRPr="001113BD" w:rsidRDefault="00F10CC7">
    <w:pPr>
      <w:pStyle w:val="Title"/>
      <w:spacing w:after="0" w:line="240" w:lineRule="auto"/>
      <w:jc w:val="both"/>
      <w:rPr>
        <w:iCs/>
      </w:rPr>
    </w:pPr>
    <w:bookmarkStart w:id="37" w:name="_xu62fr8wjlfb" w:colFirst="0" w:colLast="0"/>
    <w:bookmarkEnd w:id="37"/>
    <w:r w:rsidRPr="001113BD">
      <w:rPr>
        <w:iCs/>
        <w:sz w:val="20"/>
        <w:szCs w:val="20"/>
      </w:rPr>
      <w:t>Unauthorized use or dissemination of this information is strictly prohibited and may result in legal</w:t>
    </w:r>
    <w:r w:rsidRPr="001113BD">
      <w:rPr>
        <w:iCs/>
        <w:sz w:val="20"/>
        <w:szCs w:val="20"/>
      </w:rPr>
      <w:t xml:space="preserve"> liability, including claims for damages and injunctive relief. By accessing this document, the recipient acknowledges CENTEF’s ownership of the information and agrees to handle it with the utmost discretion and confidentiality.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1FDD1" w14:textId="77777777" w:rsidR="00F10CC7" w:rsidRDefault="00F10CC7">
      <w:pPr>
        <w:spacing w:line="240" w:lineRule="auto"/>
      </w:pPr>
      <w:r>
        <w:separator/>
      </w:r>
    </w:p>
  </w:footnote>
  <w:footnote w:type="continuationSeparator" w:id="0">
    <w:p w14:paraId="4258BD78" w14:textId="77777777" w:rsidR="00F10CC7" w:rsidRDefault="00F10C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8F49" w14:textId="77777777" w:rsidR="00A14E85" w:rsidRDefault="00A14E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9407" w14:textId="77777777" w:rsidR="00DF3F9E" w:rsidRDefault="00F10CC7">
    <w:pPr>
      <w:jc w:val="center"/>
    </w:pPr>
    <w:r>
      <w:rPr>
        <w:noProof/>
      </w:rPr>
      <w:drawing>
        <wp:inline distT="114300" distB="114300" distL="114300" distR="114300" wp14:anchorId="690EF4E9" wp14:editId="7DD67332">
          <wp:extent cx="1657350" cy="3774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1641" b="30597"/>
                  <a:stretch>
                    <a:fillRect/>
                  </a:stretch>
                </pic:blipFill>
                <pic:spPr>
                  <a:xfrm>
                    <a:off x="0" y="0"/>
                    <a:ext cx="1657350" cy="37747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DEC48" w14:textId="77777777" w:rsidR="00A14E85" w:rsidRDefault="00A14E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7" style="width:0;height:1.5pt" o:hralign="center" o:bullet="t" o:hrstd="t" o:hr="t" fillcolor="#a0a0a0" stroked="f"/>
    </w:pict>
  </w:numPicBullet>
  <w:abstractNum w:abstractNumId="0" w15:restartNumberingAfterBreak="0">
    <w:nsid w:val="008A6A98"/>
    <w:multiLevelType w:val="multilevel"/>
    <w:tmpl w:val="2C447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8F74C4"/>
    <w:multiLevelType w:val="multilevel"/>
    <w:tmpl w:val="CAB64928"/>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B14711"/>
    <w:multiLevelType w:val="multilevel"/>
    <w:tmpl w:val="19A8BAB0"/>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098D10B9"/>
    <w:multiLevelType w:val="multilevel"/>
    <w:tmpl w:val="927867A6"/>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43C72B6"/>
    <w:multiLevelType w:val="multilevel"/>
    <w:tmpl w:val="EAFC5ED4"/>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6EB76EB"/>
    <w:multiLevelType w:val="multilevel"/>
    <w:tmpl w:val="7F402EA4"/>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1AB251F1"/>
    <w:multiLevelType w:val="multilevel"/>
    <w:tmpl w:val="80BE6EB4"/>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24F87E5D"/>
    <w:multiLevelType w:val="multilevel"/>
    <w:tmpl w:val="2CF61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CB700A"/>
    <w:multiLevelType w:val="multilevel"/>
    <w:tmpl w:val="B7A850B0"/>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32EF3F3F"/>
    <w:multiLevelType w:val="multilevel"/>
    <w:tmpl w:val="3BC09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E51C08"/>
    <w:multiLevelType w:val="multilevel"/>
    <w:tmpl w:val="2A847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992475"/>
    <w:multiLevelType w:val="multilevel"/>
    <w:tmpl w:val="A9C8E382"/>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3B0864E0"/>
    <w:multiLevelType w:val="multilevel"/>
    <w:tmpl w:val="4A342DE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BCA71D9"/>
    <w:multiLevelType w:val="multilevel"/>
    <w:tmpl w:val="B78C2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1E55A6"/>
    <w:multiLevelType w:val="multilevel"/>
    <w:tmpl w:val="16E22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1E354F8"/>
    <w:multiLevelType w:val="multilevel"/>
    <w:tmpl w:val="E8989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2254FA"/>
    <w:multiLevelType w:val="multilevel"/>
    <w:tmpl w:val="B3428E24"/>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4C0A6CC7"/>
    <w:multiLevelType w:val="multilevel"/>
    <w:tmpl w:val="C60C4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7C746E"/>
    <w:multiLevelType w:val="multilevel"/>
    <w:tmpl w:val="D23E5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CDB43DE"/>
    <w:multiLevelType w:val="multilevel"/>
    <w:tmpl w:val="CE4CE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CB32F3"/>
    <w:multiLevelType w:val="multilevel"/>
    <w:tmpl w:val="F1DC2520"/>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5242670A"/>
    <w:multiLevelType w:val="multilevel"/>
    <w:tmpl w:val="56207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4922FD4"/>
    <w:multiLevelType w:val="multilevel"/>
    <w:tmpl w:val="F5160F34"/>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54D12BDC"/>
    <w:multiLevelType w:val="multilevel"/>
    <w:tmpl w:val="BA480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8B56431"/>
    <w:multiLevelType w:val="multilevel"/>
    <w:tmpl w:val="75C81BA2"/>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5B383E08"/>
    <w:multiLevelType w:val="multilevel"/>
    <w:tmpl w:val="1720943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26" w15:restartNumberingAfterBreak="0">
    <w:nsid w:val="5D8F113F"/>
    <w:multiLevelType w:val="multilevel"/>
    <w:tmpl w:val="95B25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F5B705A"/>
    <w:multiLevelType w:val="multilevel"/>
    <w:tmpl w:val="A0B00AFE"/>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6001473B"/>
    <w:multiLevelType w:val="multilevel"/>
    <w:tmpl w:val="A9C0D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3D40183"/>
    <w:multiLevelType w:val="multilevel"/>
    <w:tmpl w:val="D6260BB2"/>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0" w15:restartNumberingAfterBreak="0">
    <w:nsid w:val="677412CB"/>
    <w:multiLevelType w:val="multilevel"/>
    <w:tmpl w:val="6DE0B6D2"/>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1" w15:restartNumberingAfterBreak="0">
    <w:nsid w:val="6A00408E"/>
    <w:multiLevelType w:val="multilevel"/>
    <w:tmpl w:val="4EA21A4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BCD58B9"/>
    <w:multiLevelType w:val="multilevel"/>
    <w:tmpl w:val="14C4E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CC34DB3"/>
    <w:multiLevelType w:val="multilevel"/>
    <w:tmpl w:val="30F81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F0B538B"/>
    <w:multiLevelType w:val="multilevel"/>
    <w:tmpl w:val="AA0E8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5B3B99"/>
    <w:multiLevelType w:val="multilevel"/>
    <w:tmpl w:val="B2C48C3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C744F42"/>
    <w:multiLevelType w:val="multilevel"/>
    <w:tmpl w:val="D1740A60"/>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17"/>
  </w:num>
  <w:num w:numId="2">
    <w:abstractNumId w:val="19"/>
  </w:num>
  <w:num w:numId="3">
    <w:abstractNumId w:val="18"/>
  </w:num>
  <w:num w:numId="4">
    <w:abstractNumId w:val="7"/>
  </w:num>
  <w:num w:numId="5">
    <w:abstractNumId w:val="28"/>
  </w:num>
  <w:num w:numId="6">
    <w:abstractNumId w:val="23"/>
  </w:num>
  <w:num w:numId="7">
    <w:abstractNumId w:val="32"/>
  </w:num>
  <w:num w:numId="8">
    <w:abstractNumId w:val="9"/>
  </w:num>
  <w:num w:numId="9">
    <w:abstractNumId w:val="21"/>
  </w:num>
  <w:num w:numId="10">
    <w:abstractNumId w:val="33"/>
  </w:num>
  <w:num w:numId="11">
    <w:abstractNumId w:val="13"/>
  </w:num>
  <w:num w:numId="12">
    <w:abstractNumId w:val="10"/>
  </w:num>
  <w:num w:numId="13">
    <w:abstractNumId w:val="34"/>
  </w:num>
  <w:num w:numId="14">
    <w:abstractNumId w:val="25"/>
  </w:num>
  <w:num w:numId="15">
    <w:abstractNumId w:val="0"/>
  </w:num>
  <w:num w:numId="16">
    <w:abstractNumId w:val="26"/>
  </w:num>
  <w:num w:numId="17">
    <w:abstractNumId w:val="15"/>
  </w:num>
  <w:num w:numId="18">
    <w:abstractNumId w:val="14"/>
  </w:num>
  <w:num w:numId="19">
    <w:abstractNumId w:val="35"/>
  </w:num>
  <w:num w:numId="20">
    <w:abstractNumId w:val="29"/>
  </w:num>
  <w:num w:numId="21">
    <w:abstractNumId w:val="11"/>
  </w:num>
  <w:num w:numId="22">
    <w:abstractNumId w:val="31"/>
  </w:num>
  <w:num w:numId="23">
    <w:abstractNumId w:val="27"/>
  </w:num>
  <w:num w:numId="24">
    <w:abstractNumId w:val="1"/>
  </w:num>
  <w:num w:numId="25">
    <w:abstractNumId w:val="12"/>
  </w:num>
  <w:num w:numId="26">
    <w:abstractNumId w:val="6"/>
  </w:num>
  <w:num w:numId="27">
    <w:abstractNumId w:val="8"/>
  </w:num>
  <w:num w:numId="28">
    <w:abstractNumId w:val="5"/>
  </w:num>
  <w:num w:numId="29">
    <w:abstractNumId w:val="20"/>
  </w:num>
  <w:num w:numId="30">
    <w:abstractNumId w:val="22"/>
  </w:num>
  <w:num w:numId="31">
    <w:abstractNumId w:val="16"/>
  </w:num>
  <w:num w:numId="32">
    <w:abstractNumId w:val="24"/>
  </w:num>
  <w:num w:numId="33">
    <w:abstractNumId w:val="2"/>
  </w:num>
  <w:num w:numId="34">
    <w:abstractNumId w:val="36"/>
  </w:num>
  <w:num w:numId="35">
    <w:abstractNumId w:val="4"/>
  </w:num>
  <w:num w:numId="36">
    <w:abstractNumId w:val="3"/>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F9E"/>
    <w:rsid w:val="001113BD"/>
    <w:rsid w:val="0030609F"/>
    <w:rsid w:val="00375559"/>
    <w:rsid w:val="004B3147"/>
    <w:rsid w:val="00525898"/>
    <w:rsid w:val="006417F9"/>
    <w:rsid w:val="006468E9"/>
    <w:rsid w:val="006C698D"/>
    <w:rsid w:val="007C2EF2"/>
    <w:rsid w:val="008155C6"/>
    <w:rsid w:val="00847BD5"/>
    <w:rsid w:val="008631E1"/>
    <w:rsid w:val="00A14E85"/>
    <w:rsid w:val="00A15DAA"/>
    <w:rsid w:val="00A96AB3"/>
    <w:rsid w:val="00B81ADF"/>
    <w:rsid w:val="00BB5CEB"/>
    <w:rsid w:val="00D0542D"/>
    <w:rsid w:val="00D05B6A"/>
    <w:rsid w:val="00D627DF"/>
    <w:rsid w:val="00DF3F9E"/>
    <w:rsid w:val="00E22E9E"/>
    <w:rsid w:val="00E52957"/>
    <w:rsid w:val="00E5437C"/>
    <w:rsid w:val="00F10C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948AC"/>
  <w15:docId w15:val="{4539F83D-00B3-449D-BA71-6496FB960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8E9"/>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line="240" w:lineRule="auto"/>
      <w:ind w:left="720" w:hanging="360"/>
      <w:outlineLvl w:val="1"/>
    </w:pPr>
    <w:rPr>
      <w:b/>
      <w:sz w:val="28"/>
      <w:szCs w:val="28"/>
    </w:rPr>
  </w:style>
  <w:style w:type="paragraph" w:styleId="Heading3">
    <w:name w:val="heading 3"/>
    <w:basedOn w:val="Normal"/>
    <w:next w:val="Normal"/>
    <w:uiPriority w:val="9"/>
    <w:unhideWhenUsed/>
    <w:qFormat/>
    <w:pPr>
      <w:keepNext/>
      <w:keepLines/>
      <w:spacing w:before="320" w:after="80"/>
      <w:jc w:val="both"/>
      <w:outlineLvl w:val="2"/>
    </w:pPr>
    <w:rPr>
      <w:sz w:val="26"/>
      <w:szCs w:val="26"/>
      <w:u w:val="single"/>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81ADF"/>
    <w:pPr>
      <w:tabs>
        <w:tab w:val="center" w:pos="4680"/>
        <w:tab w:val="right" w:pos="9360"/>
      </w:tabs>
      <w:spacing w:line="240" w:lineRule="auto"/>
    </w:pPr>
  </w:style>
  <w:style w:type="character" w:customStyle="1" w:styleId="HeaderChar">
    <w:name w:val="Header Char"/>
    <w:basedOn w:val="DefaultParagraphFont"/>
    <w:link w:val="Header"/>
    <w:uiPriority w:val="99"/>
    <w:rsid w:val="00B81ADF"/>
  </w:style>
  <w:style w:type="paragraph" w:styleId="Footer">
    <w:name w:val="footer"/>
    <w:basedOn w:val="Normal"/>
    <w:link w:val="FooterChar"/>
    <w:uiPriority w:val="99"/>
    <w:unhideWhenUsed/>
    <w:rsid w:val="00B81ADF"/>
    <w:pPr>
      <w:tabs>
        <w:tab w:val="center" w:pos="4680"/>
        <w:tab w:val="right" w:pos="9360"/>
      </w:tabs>
      <w:spacing w:line="240" w:lineRule="auto"/>
    </w:pPr>
  </w:style>
  <w:style w:type="character" w:customStyle="1" w:styleId="FooterChar">
    <w:name w:val="Footer Char"/>
    <w:basedOn w:val="DefaultParagraphFont"/>
    <w:link w:val="Footer"/>
    <w:uiPriority w:val="99"/>
    <w:rsid w:val="00B81ADF"/>
  </w:style>
  <w:style w:type="paragraph" w:styleId="ListParagraph">
    <w:name w:val="List Paragraph"/>
    <w:basedOn w:val="Normal"/>
    <w:uiPriority w:val="34"/>
    <w:qFormat/>
    <w:rsid w:val="001113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youtube.com/watch?v=x75tiJP0upY"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318</TotalTime>
  <Pages>13</Pages>
  <Words>3400</Words>
  <Characters>19385</Characters>
  <Application>Microsoft Office Word</Application>
  <DocSecurity>0</DocSecurity>
  <Lines>161</Lines>
  <Paragraphs>45</Paragraphs>
  <ScaleCrop>false</ScaleCrop>
  <Company/>
  <LinksUpToDate>false</LinksUpToDate>
  <CharactersWithSpaces>22740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dc:creator>
  <cp:lastModifiedBy>Marc Cohen</cp:lastModifiedBy>
  <cp:revision>24</cp:revision>
  <dcterms:created xsi:type="dcterms:W3CDTF">2025-10-07T09:44:00Z</dcterms:created>
  <dcterms:modified xsi:type="dcterms:W3CDTF">2025-10-24T16:49:00Z</dcterms:modified>
</cp:coreProperties>
</file>